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52"/>
          <w:szCs w:val="72"/>
        </w:rPr>
      </w:pPr>
      <w:r>
        <w:rPr>
          <w:rFonts w:hint="eastAsia"/>
          <w:b/>
          <w:color w:val="000000"/>
          <w:sz w:val="52"/>
          <w:szCs w:val="72"/>
        </w:rPr>
        <w:t xml:space="preserve"> </w:t>
      </w:r>
    </w:p>
    <w:p>
      <w:pPr>
        <w:jc w:val="center"/>
        <w:rPr>
          <w:b/>
          <w:color w:val="000000"/>
          <w:sz w:val="52"/>
          <w:szCs w:val="72"/>
        </w:rPr>
      </w:pPr>
    </w:p>
    <w:p>
      <w:pPr>
        <w:jc w:val="center"/>
        <w:rPr>
          <w:b/>
          <w:color w:val="000000"/>
          <w:sz w:val="52"/>
          <w:szCs w:val="72"/>
        </w:rPr>
      </w:pPr>
    </w:p>
    <w:p>
      <w:pPr>
        <w:jc w:val="center"/>
        <w:rPr>
          <w:b/>
          <w:color w:val="000000"/>
          <w:sz w:val="52"/>
          <w:szCs w:val="72"/>
        </w:rPr>
      </w:pPr>
    </w:p>
    <w:p>
      <w:pPr>
        <w:jc w:val="center"/>
        <w:rPr>
          <w:b/>
          <w:color w:val="000000"/>
          <w:sz w:val="52"/>
          <w:szCs w:val="72"/>
        </w:rPr>
      </w:pPr>
    </w:p>
    <w:p>
      <w:pPr>
        <w:jc w:val="center"/>
        <w:rPr>
          <w:b/>
          <w:color w:val="000000"/>
          <w:sz w:val="52"/>
          <w:szCs w:val="72"/>
        </w:rPr>
      </w:pPr>
    </w:p>
    <w:p>
      <w:pPr>
        <w:jc w:val="center"/>
        <w:rPr>
          <w:b/>
          <w:color w:val="000000"/>
          <w:sz w:val="52"/>
          <w:szCs w:val="72"/>
        </w:rPr>
      </w:pPr>
    </w:p>
    <w:p>
      <w:pPr>
        <w:jc w:val="center"/>
        <w:rPr>
          <w:b/>
          <w:color w:val="000000"/>
          <w:sz w:val="52"/>
          <w:szCs w:val="72"/>
        </w:rPr>
      </w:pPr>
    </w:p>
    <w:p>
      <w:pPr>
        <w:jc w:val="center"/>
        <w:rPr>
          <w:b/>
          <w:color w:val="000000"/>
          <w:sz w:val="52"/>
          <w:szCs w:val="72"/>
        </w:rPr>
      </w:pPr>
    </w:p>
    <w:p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中山市华星染织洗水有限公司</w:t>
      </w:r>
    </w:p>
    <w:p>
      <w:pPr>
        <w:jc w:val="center"/>
        <w:rPr>
          <w:b/>
          <w:color w:val="000000"/>
          <w:sz w:val="24"/>
          <w:highlight w:val="yellow"/>
        </w:rPr>
      </w:pPr>
      <w:r>
        <w:rPr>
          <w:rFonts w:hint="eastAsia"/>
          <w:b/>
          <w:color w:val="000000"/>
          <w:sz w:val="48"/>
          <w:szCs w:val="48"/>
        </w:rPr>
        <w:t>自行监测方案</w:t>
      </w:r>
    </w:p>
    <w:p>
      <w:pPr>
        <w:jc w:val="center"/>
        <w:rPr>
          <w:b/>
          <w:color w:val="000000"/>
          <w:sz w:val="24"/>
          <w:highlight w:val="yellow"/>
        </w:rPr>
      </w:pPr>
    </w:p>
    <w:p>
      <w:pPr>
        <w:jc w:val="center"/>
        <w:rPr>
          <w:b/>
          <w:color w:val="000000"/>
          <w:sz w:val="24"/>
          <w:highlight w:val="yellow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仿宋" w:hAnsi="仿宋" w:eastAsia="仿宋" w:cs="黑体"/>
          <w:b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b/>
          <w:color w:val="000000"/>
          <w:sz w:val="32"/>
          <w:szCs w:val="32"/>
        </w:rPr>
        <w:t>一、企业概况</w:t>
      </w:r>
    </w:p>
    <w:p>
      <w:pPr>
        <w:ind w:firstLine="602" w:firstLineChars="200"/>
        <w:rPr>
          <w:rFonts w:ascii="仿宋" w:hAnsi="仿宋" w:eastAsia="仿宋" w:cs="黑体"/>
          <w:b/>
          <w:color w:val="000000"/>
          <w:sz w:val="30"/>
          <w:szCs w:val="30"/>
        </w:rPr>
      </w:pPr>
      <w:r>
        <w:rPr>
          <w:rFonts w:hint="eastAsia" w:ascii="仿宋" w:hAnsi="仿宋" w:eastAsia="仿宋" w:cs="黑体"/>
          <w:b/>
          <w:color w:val="000000"/>
          <w:sz w:val="30"/>
          <w:szCs w:val="30"/>
        </w:rPr>
        <w:t>（一）企业基本情况</w:t>
      </w:r>
    </w:p>
    <w:p>
      <w:pPr>
        <w:ind w:firstLine="560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企业名称：</w:t>
      </w:r>
      <w:r>
        <w:rPr>
          <w:rFonts w:ascii="仿宋" w:hAnsi="仿宋" w:eastAsia="仿宋"/>
          <w:color w:val="000000"/>
          <w:sz w:val="28"/>
          <w:szCs w:val="28"/>
        </w:rPr>
        <w:t>中山市华星染织洗水有限公司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法人代表：伍泳标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所属行业：机织服装制造</w:t>
      </w:r>
    </w:p>
    <w:p>
      <w:pPr>
        <w:tabs>
          <w:tab w:val="left" w:pos="3855"/>
        </w:tabs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生产周期：260天/年，每天24小时</w:t>
      </w:r>
      <w:r>
        <w:rPr>
          <w:rFonts w:ascii="仿宋" w:hAnsi="仿宋" w:eastAsia="仿宋"/>
          <w:color w:val="000000"/>
          <w:sz w:val="28"/>
          <w:szCs w:val="28"/>
        </w:rPr>
        <w:tab/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地址：</w:t>
      </w:r>
      <w:r>
        <w:rPr>
          <w:rFonts w:ascii="仿宋" w:hAnsi="仿宋" w:eastAsia="仿宋"/>
          <w:color w:val="000000"/>
          <w:sz w:val="28"/>
          <w:szCs w:val="28"/>
        </w:rPr>
        <w:t>中山市大涌镇中新公路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  <w:r>
        <w:rPr>
          <w:rFonts w:ascii="仿宋" w:hAnsi="仿宋" w:eastAsia="仿宋"/>
          <w:color w:val="000000"/>
          <w:sz w:val="28"/>
          <w:szCs w:val="28"/>
        </w:rPr>
        <w:t>伍月溪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  <w:r>
        <w:rPr>
          <w:rFonts w:ascii="仿宋" w:hAnsi="仿宋" w:eastAsia="仿宋"/>
          <w:color w:val="000000"/>
          <w:sz w:val="28"/>
          <w:szCs w:val="28"/>
        </w:rPr>
        <w:t>13702531222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主要生产设备：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16"/>
        <w:gridCol w:w="1965"/>
        <w:gridCol w:w="992"/>
        <w:gridCol w:w="993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restart"/>
            <w:shd w:val="pct10" w:color="auto" w:fill="auto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516" w:type="dxa"/>
            <w:vMerge w:val="restart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生产设备</w:t>
            </w:r>
          </w:p>
        </w:tc>
        <w:tc>
          <w:tcPr>
            <w:tcW w:w="1965" w:type="dxa"/>
            <w:vMerge w:val="restart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型号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设备数量（台）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增减量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（台）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所在</w:t>
            </w:r>
          </w:p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工序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38" w:type="dxa"/>
            <w:vMerge w:val="continue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16" w:type="dxa"/>
            <w:vMerge w:val="continue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65" w:type="dxa"/>
            <w:vMerge w:val="continue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2" w:type="dxa"/>
            <w:shd w:val="pct10" w:color="auto" w:fill="auto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扩建前</w:t>
            </w:r>
          </w:p>
        </w:tc>
        <w:tc>
          <w:tcPr>
            <w:tcW w:w="993" w:type="dxa"/>
            <w:shd w:val="pct10" w:color="auto" w:fill="auto"/>
          </w:tcPr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扩建后</w:t>
            </w:r>
          </w:p>
        </w:tc>
        <w:tc>
          <w:tcPr>
            <w:tcW w:w="992" w:type="dxa"/>
            <w:vMerge w:val="continue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vMerge w:val="continue"/>
            <w:shd w:val="pct10" w:color="auto" w:fill="auto"/>
            <w:vAlign w:val="center"/>
          </w:tcPr>
          <w:p>
            <w:pPr>
              <w:ind w:firstLine="422" w:firstLineChars="200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洗水机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XGP-550磅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洗水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XGP-100磅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染色缸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ECO-650KG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染色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ECO-500KG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ECO-450KG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ECO-200KG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ECO-100KG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染浆线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联合染浆线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烘干机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DZP-300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98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248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+150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烘干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脱水机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LT-635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68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+50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脱水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定型机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联合定型机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燃生物质锅炉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ZG-30/5.29-T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ZG-60/5.29-T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516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生物质颗粒机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压缩成型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8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喷马骝枪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60支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+60支</w:t>
            </w:r>
          </w:p>
        </w:tc>
        <w:tc>
          <w:tcPr>
            <w:tcW w:w="155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喷马骝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喷砂枪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30支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+30支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喷砂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炒砂机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30台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+30台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扫描位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180个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+180个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后整理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磨纱位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180个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+180个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3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516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水帘柜</w:t>
            </w:r>
          </w:p>
        </w:tc>
        <w:tc>
          <w:tcPr>
            <w:tcW w:w="1965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99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16台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+16台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废气治理设施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（二）污染物治理及排放情况（扩建部分）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（1）废气治理及排放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①喷砂工序</w:t>
      </w:r>
      <w:r>
        <w:rPr>
          <w:rFonts w:ascii="仿宋" w:hAnsi="仿宋" w:eastAsia="仿宋"/>
          <w:color w:val="000000"/>
          <w:sz w:val="28"/>
          <w:szCs w:val="28"/>
        </w:rPr>
        <w:t>：产生粉尘废气，以颗粒物为表征。使用风机收集后经水帘柜处理，最后通过加强车间通风排气系统无组织排放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②喷马骝工序</w:t>
      </w:r>
      <w:r>
        <w:rPr>
          <w:rFonts w:ascii="仿宋" w:hAnsi="仿宋" w:eastAsia="仿宋"/>
          <w:color w:val="000000"/>
          <w:sz w:val="28"/>
          <w:szCs w:val="28"/>
        </w:rPr>
        <w:t>：</w:t>
      </w:r>
      <w:r>
        <w:rPr>
          <w:rFonts w:ascii="仿宋" w:hAnsi="仿宋" w:eastAsia="仿宋"/>
          <w:bCs/>
          <w:color w:val="000000"/>
          <w:sz w:val="28"/>
          <w:szCs w:val="28"/>
        </w:rPr>
        <w:t>产生高锰酸钾水雾，</w:t>
      </w:r>
      <w:r>
        <w:rPr>
          <w:rFonts w:ascii="仿宋" w:hAnsi="仿宋" w:eastAsia="仿宋"/>
          <w:color w:val="000000"/>
          <w:sz w:val="28"/>
          <w:szCs w:val="28"/>
        </w:rPr>
        <w:t>主要污染物为锰及其化合物和臭气浓度。采用风机收集后经水帘柜处理处理后无组织排放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③后整理工序</w:t>
      </w:r>
      <w:r>
        <w:rPr>
          <w:rFonts w:ascii="仿宋" w:hAnsi="仿宋" w:eastAsia="仿宋"/>
          <w:bCs/>
          <w:color w:val="000000"/>
          <w:sz w:val="28"/>
          <w:szCs w:val="28"/>
        </w:rPr>
        <w:t>：产生废气，主要污染物为锰及其化合物、颗粒物和臭气浓度。通过加强车间通风排气系统无组织排放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（2）废水治理及排放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bCs/>
          <w:color w:val="000000"/>
          <w:sz w:val="28"/>
          <w:szCs w:val="28"/>
        </w:rPr>
        <w:t>①生活污水：本项目技改扩建后员工人数不变，不新增生活废水；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②水帘柜废水：项目技改扩建后新增水帘柜16台，每月换水一次，则产生水帘柜废水345.6吨/年，水帘柜废水</w:t>
      </w:r>
      <w:r>
        <w:rPr>
          <w:rFonts w:ascii="仿宋" w:hAnsi="仿宋" w:eastAsia="仿宋"/>
          <w:bCs/>
          <w:sz w:val="28"/>
          <w:szCs w:val="28"/>
        </w:rPr>
        <w:t>统一收集后委托给有处理能力的废水处理机构处理。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（3）噪声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①合理安排生产计划，严格控制生产时间；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②选用低噪声设备和工作方式，并采取减振和隔声等降噪措施；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③合理布局噪声源；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④加强对设备进行维修，保证设备正常工作，加强管理，减少不必要的噪声产生；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⑤对于运输噪声，应合理选择运输路线，减少车辆噪声对周围环境敏感点的影响，限制大型载重车的车速，靠近居民区附近时应限速，对运输车辆定期维修、养护，减少或杜绝鸣笛等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（4）固体废弃物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①一般固废：废包装物0.1t/a、沉渣0.4t/a和废砂纸0.10t/a，可回收利用的回收利用，不可回收林利用的交由换位部门转移处理。</w:t>
      </w:r>
    </w:p>
    <w:p>
      <w:pPr>
        <w:widowControl/>
        <w:ind w:firstLine="560" w:firstLineChars="200"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>②危险废物；废高锰酸钾包装物0.01t/a和沾有高锰酸钾的废抹布0.02t/a，暂存于防渗漏、防风、防雨的危险废物暂存场所，并定期交由有相应危险废物经营许可证的单位处理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二、企业自行监测开展情况</w:t>
      </w:r>
    </w:p>
    <w:p>
      <w:pPr>
        <w:widowControl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</w:t>
      </w:r>
      <w:r>
        <w:rPr>
          <w:rFonts w:ascii="仿宋" w:hAnsi="仿宋" w:eastAsia="仿宋"/>
          <w:color w:val="000000"/>
          <w:sz w:val="28"/>
          <w:szCs w:val="28"/>
        </w:rPr>
        <w:t>中山市华星染织洗水有限公司</w:t>
      </w:r>
      <w:r>
        <w:rPr>
          <w:rFonts w:hint="eastAsia" w:ascii="仿宋" w:hAnsi="仿宋" w:eastAsia="仿宋"/>
          <w:color w:val="000000"/>
          <w:sz w:val="28"/>
          <w:szCs w:val="28"/>
        </w:rPr>
        <w:t>的基本情况及生产工艺，污染物产生及排放情况，筛选本方案中需监测的污染源类别为废气、雨水、废水和噪声。</w:t>
      </w:r>
    </w:p>
    <w:p>
      <w:pPr>
        <w:widowControl/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中山市华星染织洗水有限公司</w:t>
      </w:r>
      <w:r>
        <w:rPr>
          <w:rFonts w:hint="eastAsia" w:ascii="仿宋" w:hAnsi="仿宋" w:eastAsia="仿宋"/>
          <w:color w:val="000000"/>
          <w:sz w:val="28"/>
          <w:szCs w:val="28"/>
        </w:rPr>
        <w:t>采用手工监测的方式对废气、生产废水和噪声进行监测，监测点布置按照环评要求进行，委托广东同创伟业检测技术有限公司监测。采用在线监测仪的方式对</w:t>
      </w:r>
      <w:r>
        <w:rPr>
          <w:rFonts w:ascii="仿宋" w:hAnsi="仿宋" w:eastAsia="仿宋"/>
          <w:color w:val="000000"/>
          <w:sz w:val="28"/>
          <w:szCs w:val="28"/>
        </w:rPr>
        <w:t>成衣水洗废水</w:t>
      </w:r>
      <w:r>
        <w:rPr>
          <w:rFonts w:hint="eastAsia" w:ascii="仿宋" w:hAnsi="仿宋" w:eastAsia="仿宋"/>
          <w:color w:val="000000"/>
          <w:sz w:val="28"/>
          <w:szCs w:val="28"/>
        </w:rPr>
        <w:t>部分监测。</w:t>
      </w:r>
    </w:p>
    <w:p>
      <w:pPr>
        <w:widowControl/>
        <w:jc w:val="lef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三、监测方案</w:t>
      </w:r>
    </w:p>
    <w:p>
      <w:pPr>
        <w:widowControl/>
        <w:ind w:firstLine="602" w:firstLineChars="200"/>
        <w:jc w:val="left"/>
        <w:rPr>
          <w:rFonts w:ascii="仿宋" w:hAnsi="仿宋" w:eastAsia="仿宋"/>
          <w:b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sz w:val="30"/>
          <w:szCs w:val="30"/>
        </w:rPr>
        <w:t>（一）监测点位示意</w:t>
      </w:r>
    </w:p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1440" w:right="1797" w:bottom="1440" w:left="1797" w:header="851" w:footer="992" w:gutter="0"/>
          <w:pgNumType w:start="1"/>
          <w:cols w:space="720" w:num="1"/>
          <w:docGrid w:linePitch="312" w:charSpace="0"/>
        </w:sectPr>
      </w:pPr>
    </w:p>
    <w:p>
      <w:pPr>
        <w:widowControl/>
        <w:jc w:val="left"/>
        <w:rPr>
          <w:rFonts w:ascii="仿宋" w:hAnsi="仿宋" w:eastAsia="仿宋"/>
          <w:color w:val="00000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pgNumType w:start="1"/>
          <w:cols w:space="720" w:num="1"/>
          <w:docGrid w:linePitch="312" w:charSpace="0"/>
        </w:sect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959475" cy="8261350"/>
            <wp:effectExtent l="19050" t="0" r="3022" b="0"/>
            <wp:docPr id="1" name="图片 1" descr="C:\Users\ADMINI~1\AppData\Local\Temp\15954664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1595466481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063" cy="826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（二）监测内容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2268"/>
        <w:gridCol w:w="1275"/>
        <w:gridCol w:w="1560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污染源类型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排污口编号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排污口位置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监测因子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监测方式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监测频次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无组织废气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臭气浓度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1次/半年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锰及其化合物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1次/半年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1次/半年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硫化氢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1次/半年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非甲烷总烃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1次/半年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颗粒物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1次/半年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水帘柜废水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DW003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水帘柜废水排放口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pH值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49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监测实施单位：中山市瑞信达环保发展有限公司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悬浮物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五日生化需氧量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化学需氧量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总氮</w:t>
            </w:r>
            <w:r>
              <w:rPr>
                <w:rFonts w:eastAsia="楷体_GB2312"/>
                <w:sz w:val="24"/>
              </w:rPr>
              <w:t>（以N计）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氨氮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色度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总磷</w:t>
            </w:r>
            <w:r>
              <w:rPr>
                <w:rFonts w:eastAsia="楷体_GB2312"/>
                <w:sz w:val="24"/>
              </w:rPr>
              <w:t>（以P计）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有组织废气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FQ-00527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锅炉废气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+定型废气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林格曼黑度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氮氧化物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二氧化硫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烟尘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一氧化碳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1次/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颗粒物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1次/半年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臭气浓度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1次/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季度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非甲烷总烃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1次/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季度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声环境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厂界外北面1米处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噪声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1次/年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厂界外东面1米处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噪声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 xml:space="preserve">    </w:t>
            </w:r>
            <w:bookmarkStart w:id="2" w:name="_GoBack"/>
            <w:bookmarkEnd w:id="2"/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厂界外南面1米处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噪声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厂界外西面1米处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噪声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雨水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YS001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雨水排放口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sz w:val="24"/>
              </w:rPr>
              <w:t>C</w:t>
            </w:r>
            <w:r>
              <w:rPr>
                <w:rFonts w:eastAsia="楷体_GB2312"/>
                <w:sz w:val="24"/>
              </w:rPr>
              <w:t>OD</w:t>
            </w:r>
            <w:r>
              <w:rPr>
                <w:rFonts w:eastAsia="楷体_GB2312"/>
                <w:sz w:val="24"/>
                <w:vertAlign w:val="subscript"/>
              </w:rPr>
              <w:t>cr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  <w:r>
              <w:rPr>
                <w:rFonts w:ascii="仿宋_GB2312"/>
                <w:color w:val="000000"/>
                <w:sz w:val="22"/>
                <w:szCs w:val="28"/>
              </w:rPr>
              <w:fldChar w:fldCharType="begin"/>
            </w:r>
            <w:r>
              <w:rPr>
                <w:rFonts w:ascii="仿宋_GB2312"/>
                <w:color w:val="000000"/>
                <w:sz w:val="22"/>
                <w:szCs w:val="28"/>
              </w:rPr>
              <w:instrText xml:space="preserve"> </w:instrText>
            </w:r>
            <w:r>
              <w:rPr>
                <w:rFonts w:hint="eastAsia" w:ascii="仿宋_GB2312"/>
                <w:color w:val="000000"/>
                <w:sz w:val="22"/>
                <w:szCs w:val="28"/>
              </w:rPr>
              <w:instrText xml:space="preserve">= 2 \* GB3</w:instrText>
            </w:r>
            <w:r>
              <w:rPr>
                <w:rFonts w:ascii="仿宋_GB2312"/>
                <w:color w:val="000000"/>
                <w:sz w:val="22"/>
                <w:szCs w:val="28"/>
              </w:rPr>
              <w:instrText xml:space="preserve"> </w:instrText>
            </w:r>
            <w:r>
              <w:rPr>
                <w:rFonts w:ascii="仿宋_GB2312"/>
                <w:color w:val="000000"/>
                <w:sz w:val="22"/>
                <w:szCs w:val="28"/>
              </w:rPr>
              <w:fldChar w:fldCharType="separate"/>
            </w:r>
            <w:r>
              <w:rPr>
                <w:rFonts w:hint="eastAsia" w:ascii="仿宋_GB2312"/>
                <w:color w:val="000000"/>
                <w:sz w:val="22"/>
                <w:szCs w:val="28"/>
              </w:rPr>
              <w:t>②</w:t>
            </w:r>
            <w:r>
              <w:rPr>
                <w:rFonts w:ascii="仿宋_GB2312"/>
                <w:color w:val="000000"/>
                <w:sz w:val="22"/>
                <w:szCs w:val="28"/>
              </w:rPr>
              <w:fldChar w:fldCharType="end"/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1次/日</w:t>
            </w:r>
          </w:p>
        </w:tc>
        <w:tc>
          <w:tcPr>
            <w:tcW w:w="4961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雨水排放口有流动时监测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sz w:val="24"/>
              </w:rPr>
              <w:t>悬浮物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  <w:r>
              <w:rPr>
                <w:rFonts w:ascii="仿宋_GB2312"/>
                <w:color w:val="000000"/>
                <w:sz w:val="22"/>
                <w:szCs w:val="28"/>
              </w:rPr>
              <w:fldChar w:fldCharType="begin"/>
            </w:r>
            <w:r>
              <w:rPr>
                <w:rFonts w:ascii="仿宋_GB2312"/>
                <w:color w:val="000000"/>
                <w:sz w:val="22"/>
                <w:szCs w:val="28"/>
              </w:rPr>
              <w:instrText xml:space="preserve"> </w:instrText>
            </w:r>
            <w:r>
              <w:rPr>
                <w:rFonts w:hint="eastAsia" w:ascii="仿宋_GB2312"/>
                <w:color w:val="000000"/>
                <w:sz w:val="22"/>
                <w:szCs w:val="28"/>
              </w:rPr>
              <w:instrText xml:space="preserve">= 2 \* GB3</w:instrText>
            </w:r>
            <w:r>
              <w:rPr>
                <w:rFonts w:ascii="仿宋_GB2312"/>
                <w:color w:val="000000"/>
                <w:sz w:val="22"/>
                <w:szCs w:val="28"/>
              </w:rPr>
              <w:instrText xml:space="preserve"> </w:instrText>
            </w:r>
            <w:r>
              <w:rPr>
                <w:rFonts w:ascii="仿宋_GB2312"/>
                <w:color w:val="000000"/>
                <w:sz w:val="22"/>
                <w:szCs w:val="28"/>
              </w:rPr>
              <w:fldChar w:fldCharType="separate"/>
            </w:r>
            <w:r>
              <w:rPr>
                <w:rFonts w:hint="eastAsia" w:ascii="仿宋_GB2312"/>
                <w:color w:val="000000"/>
                <w:sz w:val="22"/>
                <w:szCs w:val="28"/>
              </w:rPr>
              <w:t>②</w:t>
            </w:r>
            <w:r>
              <w:rPr>
                <w:rFonts w:ascii="仿宋_GB2312"/>
                <w:color w:val="000000"/>
                <w:sz w:val="22"/>
                <w:szCs w:val="28"/>
              </w:rPr>
              <w:fldChar w:fldCharType="end"/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废水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WS-00985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成衣水洗废水、生活污水排放口（一期）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pH值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自动监测故障如出现故障，24小时内无法恢复正常检测，采用手工监测代替，4次/日检测瞬时水样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色度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firstLineChars="0"/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悬浮物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3"/>
              </w:numPr>
              <w:ind w:firstLineChars="0"/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化学需氧量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firstLineChars="0"/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总氮</w:t>
            </w:r>
            <w:r>
              <w:rPr>
                <w:rFonts w:eastAsia="楷体_GB2312"/>
                <w:sz w:val="24"/>
              </w:rPr>
              <w:t>（以N计）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5"/>
              </w:numPr>
              <w:ind w:firstLineChars="0"/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氨氮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6"/>
              </w:numPr>
              <w:ind w:firstLineChars="0"/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总磷</w:t>
            </w:r>
            <w:r>
              <w:rPr>
                <w:rFonts w:eastAsia="楷体_GB2312"/>
                <w:sz w:val="24"/>
              </w:rPr>
              <w:t>（以P计）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7"/>
              </w:numPr>
              <w:ind w:firstLineChars="0"/>
              <w:jc w:val="center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可吸附有机卤化物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二氧化氯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苯胺类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硫化物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五日生化需氧量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1次/周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WS-07212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成衣水洗废水、生活污水排放口（二期）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pH值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8"/>
              </w:numPr>
              <w:ind w:firstLineChars="0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自动监测故障如出现故障，24小时内无法恢复正常检测，采用手工监测代替，4次/日检测瞬时水样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色度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9"/>
              </w:numPr>
              <w:ind w:firstLineChars="0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悬浮物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10"/>
              </w:numPr>
              <w:ind w:firstLineChars="0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化学需氧量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11"/>
              </w:numPr>
              <w:ind w:firstLineChars="0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总氮</w:t>
            </w:r>
            <w:r>
              <w:rPr>
                <w:rFonts w:eastAsia="楷体_GB2312"/>
                <w:sz w:val="24"/>
              </w:rPr>
              <w:t>（以N计）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12"/>
              </w:numPr>
              <w:ind w:firstLineChars="0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氨氮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总磷</w:t>
            </w:r>
            <w:r>
              <w:rPr>
                <w:rFonts w:eastAsia="楷体_GB2312"/>
                <w:sz w:val="24"/>
              </w:rPr>
              <w:t>（以P计）</w:t>
            </w:r>
          </w:p>
        </w:tc>
        <w:tc>
          <w:tcPr>
            <w:tcW w:w="1275" w:type="dxa"/>
            <w:vAlign w:val="center"/>
          </w:tcPr>
          <w:p>
            <w:pPr>
              <w:pStyle w:val="12"/>
              <w:numPr>
                <w:ilvl w:val="0"/>
                <w:numId w:val="14"/>
              </w:numPr>
              <w:ind w:firstLineChars="0"/>
              <w:rPr>
                <w:rFonts w:ascii="仿宋_GB2312"/>
                <w:color w:val="000000"/>
                <w:sz w:val="22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4次/日</w:t>
            </w:r>
          </w:p>
        </w:tc>
        <w:tc>
          <w:tcPr>
            <w:tcW w:w="496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可吸附有机卤化物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二氧化氯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1次/年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苯胺类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硫化物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1次/月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五日生化需氧量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1次/周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  <w:bookmarkStart w:id="0" w:name="_Toc450728418"/>
      <w:bookmarkStart w:id="1" w:name="_Toc433903872"/>
      <w:r>
        <w:rPr>
          <w:rFonts w:hint="eastAsia" w:ascii="仿宋" w:hAnsi="仿宋" w:eastAsia="仿宋"/>
        </w:rPr>
        <w:t>监测方式是指：①自动监测；②手工监测；③自动监测和手工监测相结合。</w:t>
      </w:r>
    </w:p>
    <w:bookmarkEnd w:id="0"/>
    <w:bookmarkEnd w:id="1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（三）监测时间及工况记录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记录每次开展自行监测的时间，以及开展自行监测时的生产工况。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 监测分析方法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监测分析方法、测定方法见表2。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表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/>
          <w:b/>
          <w:bCs/>
          <w:sz w:val="28"/>
          <w:szCs w:val="28"/>
        </w:rPr>
        <w:t xml:space="preserve">  监测分析方法</w:t>
      </w:r>
    </w:p>
    <w:tbl>
      <w:tblPr>
        <w:tblStyle w:val="6"/>
        <w:tblW w:w="755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48"/>
        <w:gridCol w:w="1554"/>
        <w:gridCol w:w="32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74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监测因子</w:t>
            </w:r>
          </w:p>
        </w:tc>
        <w:tc>
          <w:tcPr>
            <w:tcW w:w="155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监测分析方法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来源依据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74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55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261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厂界废气</w:t>
            </w: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臭气浓度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三点比较式臭袋法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锰及其化合物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氨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空气质量 氨的测定 离子选择电极法 GB/T 14669-1993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氯化氢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326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空气质量 硫化氢 甲硫醇 甲硫醚 二甲二硫的测定气相色谱法 GB/T14678-1993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非甲烷总烃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气相色谱法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固定污染源排气中非甲烷总烃的测定 气相色谱法HJ/T 38-1999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颗粒物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/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固定污染源排气中颗粒物测定与气态污染物采样方法 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有组织废气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FQ-00527</w:t>
            </w: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林格曼黑度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林格曼烟气黑度图法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固定污染源排放烟气黑度的测定 林格曼烟气黑度图法HJ/T 398-2007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氮氧化物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定电位电解法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固定污染源废气 氮氧化物的测定 定电位电解法HJ 693-2014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二氧化硫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碘量法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固定污染源排气中二氧化硫的测定 碘量法 HJ/T 56-2000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一氧化碳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烟尘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/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固定污染源排气中颗粒物测定与气态污染物采样方法GB/T 16157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颗粒物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/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固定污染源排气中颗粒物测定与气态污染物采样方法 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臭气浓度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三点比较式臭袋法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非甲烷总烃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气相色谱法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固定污染源排气中非甲烷总烃的测定 气相色谱法HJ/T 38-1999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声环境</w:t>
            </w: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噪声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工业企业厂界噪声排放标准GB12348-2008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废水WS-00985、WS-07212</w:t>
            </w: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pH值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玻璃电极法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pH值的测定 玻璃电极法 GB 6920-1986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色度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色度的测定GB 11903-89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悬浮物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重量法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悬浮物的测定 重量法 GB 11901-1989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化学需氧量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分光光度法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化学需氧量的测定 快速消解分光光度法 HJ/T 399-2007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总氮</w:t>
            </w:r>
            <w:r>
              <w:rPr>
                <w:rFonts w:eastAsia="楷体_GB2312"/>
                <w:sz w:val="24"/>
              </w:rPr>
              <w:t>（以N计）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分光光度法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总氮的测定 流动注射-盐酸萘乙二胺分光光度法HJ 668-2013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氨氮</w:t>
            </w:r>
            <w:r>
              <w:rPr>
                <w:rFonts w:eastAsia="楷体_GB2312"/>
                <w:sz w:val="24"/>
              </w:rPr>
              <w:t>（NH3-N）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分光光度法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氨氮的测定 流动注射-水杨酸分光光度法HJ 666-2013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总磷</w:t>
            </w:r>
            <w:r>
              <w:rPr>
                <w:rFonts w:eastAsia="楷体_GB2312"/>
                <w:sz w:val="24"/>
              </w:rPr>
              <w:t>（以</w:t>
            </w:r>
            <w:r>
              <w:rPr>
                <w:rFonts w:hint="eastAsia" w:eastAsia="楷体_GB2312"/>
                <w:sz w:val="24"/>
              </w:rPr>
              <w:t>P</w:t>
            </w:r>
            <w:r>
              <w:rPr>
                <w:rFonts w:eastAsia="楷体_GB2312"/>
                <w:sz w:val="24"/>
              </w:rPr>
              <w:t>计）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分光光度法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总磷的测定 流动注射-钼酸铵分光光度法HJ 671-2013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可吸附有机卤化物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离子色谱法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可吸附有机卤素（AOX）的测定 离子色谱法HJ/T 83-2001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二氧化氯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连续滴定碘量法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二氧化氯和亚氯酸盐的测定 连续滴定碘量法HJ 551-2016代替HJ 551-2009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苯胺类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分光光度法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水质苯胺类化合物的测定 N-(1-萘基）乙二胺偶氮分光光度法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硫化物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气相分子吸收光谱法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硫化物的测定 气相分子吸收光谱法 HJ/T 200-2005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五日生化需氧量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稀释与接种法</w:t>
            </w:r>
          </w:p>
        </w:tc>
        <w:tc>
          <w:tcPr>
            <w:tcW w:w="3261" w:type="dxa"/>
            <w:vAlign w:val="center"/>
          </w:tcPr>
          <w:p>
            <w:pPr>
              <w:ind w:left="120" w:hanging="120" w:hangingChars="5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 五日生化需氧量（BOD5）的测定 稀释与接种法 HJ505-2009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2.4 监</w:t>
      </w:r>
      <w:r>
        <w:rPr>
          <w:rFonts w:hint="eastAsia" w:ascii="仿宋" w:hAnsi="仿宋" w:eastAsia="仿宋" w:cs="黑体"/>
          <w:sz w:val="28"/>
          <w:szCs w:val="28"/>
        </w:rPr>
        <w:t>测质量保证措施</w:t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2.4.1</w:t>
      </w:r>
      <w:r>
        <w:rPr>
          <w:rFonts w:ascii="仿宋" w:hAnsi="仿宋" w:eastAsia="仿宋"/>
          <w:sz w:val="28"/>
          <w:szCs w:val="28"/>
        </w:rPr>
        <w:t>监测过程严格按各项污染物监测方法和其他有关技术规范进行。</w:t>
      </w:r>
    </w:p>
    <w:p>
      <w:pPr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2.4.2</w:t>
      </w:r>
      <w:r>
        <w:rPr>
          <w:rFonts w:ascii="仿宋" w:hAnsi="仿宋" w:eastAsia="仿宋"/>
          <w:sz w:val="28"/>
          <w:szCs w:val="28"/>
        </w:rPr>
        <w:t>监测所用计量仪器均应经过计量部门检定合格并在有效期内使用。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2.4.4、监测数据记录要求：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手工监测的记录按照《排污单位自行监测技术指南 总则》执行。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手动监测的记录：应当定期记录开展手工监测的日期、时间、污染物排放口和监测点位、监测方法、监测频次、监测仪器及型号、采样方法、监测结果等，并建立台账记录报告。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监测数据整理与存档设计记录表格，对监测过程中的关键信息予以记录、整理并存档，记录形式为电子版和纸版同时记录，保存时间不少于三年。</w:t>
      </w:r>
    </w:p>
    <w:p>
      <w:pPr>
        <w:snapToGrid w:val="0"/>
        <w:spacing w:line="360" w:lineRule="auto"/>
        <w:ind w:firstLine="560" w:firstLineChars="200"/>
        <w:jc w:val="left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2.4.4 废气采样分析系统在采样前进行气路检查、流量校准，确保整个采样过程分析系统的气密性和计量准确性。</w:t>
      </w: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3、执行标准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各污染因子排放标准限值见表3。</w:t>
      </w:r>
    </w:p>
    <w:p>
      <w:pPr>
        <w:snapToGrid w:val="0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表3 各污染因子排放标准限值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76"/>
        <w:gridCol w:w="1984"/>
        <w:gridCol w:w="2268"/>
        <w:gridCol w:w="1276"/>
        <w:gridCol w:w="10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污染物类别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监测点位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污染因子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执行标准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标准限值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废气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厂界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臭气浓度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恶臭污染物排放标准GB 14554-93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氨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1.5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氯化氢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0.06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锰及其化合物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大气污染物排放限值DB44/ 27—2001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0.04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颗粒物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非甲烷总烃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有组织废气FQ-00527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林格曼黑度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</w:rPr>
              <w:t>锅炉大气污染物排放标准GB13271-20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氮氧化物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二氧化硫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烟尘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一氧化碳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颗粒物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 xml:space="preserve">大气污染物排放限值DB44/ 27—2001  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非甲烷总烃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臭气浓度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恶臭污染物排放标准GB 14554-93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声环境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项目周边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噪声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《工业企业厂界环境噪声排放标准》（GB12348-2008）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昼间65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dB（A）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夜间55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废水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WS-00985、WS-07212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pH值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纺织染整工业水污染物排放标准</w:t>
            </w:r>
          </w:p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GB 4287-2012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6-9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色度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悬浮物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化学需氧量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总氮</w:t>
            </w:r>
            <w:r>
              <w:rPr>
                <w:rFonts w:eastAsia="楷体_GB2312"/>
                <w:sz w:val="24"/>
              </w:rPr>
              <w:t>（以N计）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氨氮</w:t>
            </w:r>
            <w:r>
              <w:rPr>
                <w:rFonts w:eastAsia="楷体_GB2312"/>
                <w:sz w:val="24"/>
              </w:rPr>
              <w:t>（NH3-N）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总磷</w:t>
            </w:r>
            <w:r>
              <w:rPr>
                <w:rFonts w:eastAsia="楷体_GB2312"/>
                <w:sz w:val="24"/>
              </w:rPr>
              <w:t>（以</w:t>
            </w:r>
            <w:r>
              <w:rPr>
                <w:rFonts w:hint="eastAsia" w:eastAsia="楷体_GB2312"/>
                <w:sz w:val="24"/>
              </w:rPr>
              <w:t>P</w:t>
            </w:r>
            <w:r>
              <w:rPr>
                <w:rFonts w:eastAsia="楷体_GB2312"/>
                <w:sz w:val="24"/>
              </w:rPr>
              <w:t>计）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0.5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可吸附有机卤化物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12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二氧化氯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0.5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苯胺类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/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硫化物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0.5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五日生化需氧量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</w:rPr>
              <w:t>mg/L</w:t>
            </w:r>
          </w:p>
        </w:tc>
      </w:tr>
    </w:tbl>
    <w:p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4、监测结果的公开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 监测结果的公开时限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行监测结果内容包括：全部监测点位、监测时间、污染物种类及浓度、标准限值、达标情况、超标倍数、污染物排放方式及排放去向。每次监测完成后的次日公布。每年一月下旬编制完成上年度自行监测开展情况年度报告，并向负责备案的环境保护主管部门报送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4.2 监测结果的公开方式</w:t>
      </w: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企业根据原始记录和检测结果，将监测信息录入“全国污染源监测信息管理与共享平台”，在对应采样日期的台账里完成数据填报、保存和发布。企业对其自行监测结果及信息公开内容的真实性、准确性、完整性负责。</w:t>
      </w:r>
    </w:p>
    <w:p>
      <w:pPr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5、监测方案的实施</w:t>
      </w:r>
    </w:p>
    <w:p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本方案于取得排污许可证后开始执行。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077"/>
    <w:multiLevelType w:val="multilevel"/>
    <w:tmpl w:val="02E42077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58C097A"/>
    <w:multiLevelType w:val="multilevel"/>
    <w:tmpl w:val="058C097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3C12DD"/>
    <w:multiLevelType w:val="multilevel"/>
    <w:tmpl w:val="1E3C12DD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B7B5437"/>
    <w:multiLevelType w:val="multilevel"/>
    <w:tmpl w:val="2B7B5437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18303D7"/>
    <w:multiLevelType w:val="multilevel"/>
    <w:tmpl w:val="418303D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705DBD"/>
    <w:multiLevelType w:val="multilevel"/>
    <w:tmpl w:val="4A705DB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C41019"/>
    <w:multiLevelType w:val="multilevel"/>
    <w:tmpl w:val="51C4101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2351D5"/>
    <w:multiLevelType w:val="multilevel"/>
    <w:tmpl w:val="562351D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5667D3"/>
    <w:multiLevelType w:val="multilevel"/>
    <w:tmpl w:val="565667D3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7A35D80"/>
    <w:multiLevelType w:val="multilevel"/>
    <w:tmpl w:val="57A35D8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2C1D03"/>
    <w:multiLevelType w:val="multilevel"/>
    <w:tmpl w:val="5D2C1D0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1038E8"/>
    <w:multiLevelType w:val="multilevel"/>
    <w:tmpl w:val="5F1038E8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5F6E4F53"/>
    <w:multiLevelType w:val="multilevel"/>
    <w:tmpl w:val="5F6E4F53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D064016"/>
    <w:multiLevelType w:val="multilevel"/>
    <w:tmpl w:val="6D064016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 w:ascii="仿宋" w:hAnsi="仿宋" w:eastAsia="仿宋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128"/>
    <w:rsid w:val="00010A6C"/>
    <w:rsid w:val="000256BF"/>
    <w:rsid w:val="000507B8"/>
    <w:rsid w:val="000539CA"/>
    <w:rsid w:val="00081185"/>
    <w:rsid w:val="00084D3E"/>
    <w:rsid w:val="000A08B0"/>
    <w:rsid w:val="000B1570"/>
    <w:rsid w:val="000C5447"/>
    <w:rsid w:val="000D2B93"/>
    <w:rsid w:val="00102A01"/>
    <w:rsid w:val="001124B4"/>
    <w:rsid w:val="00113243"/>
    <w:rsid w:val="00124334"/>
    <w:rsid w:val="0013111C"/>
    <w:rsid w:val="00133AE2"/>
    <w:rsid w:val="00143649"/>
    <w:rsid w:val="00154901"/>
    <w:rsid w:val="00154CF8"/>
    <w:rsid w:val="001669BD"/>
    <w:rsid w:val="00186165"/>
    <w:rsid w:val="001942F0"/>
    <w:rsid w:val="001A4B90"/>
    <w:rsid w:val="001B00DF"/>
    <w:rsid w:val="001B49F6"/>
    <w:rsid w:val="001D110F"/>
    <w:rsid w:val="001E0F71"/>
    <w:rsid w:val="00205291"/>
    <w:rsid w:val="0020657B"/>
    <w:rsid w:val="00243DB9"/>
    <w:rsid w:val="0024714B"/>
    <w:rsid w:val="002536DD"/>
    <w:rsid w:val="00253ABA"/>
    <w:rsid w:val="002613B8"/>
    <w:rsid w:val="00271DF4"/>
    <w:rsid w:val="00273E53"/>
    <w:rsid w:val="002761CB"/>
    <w:rsid w:val="00284F64"/>
    <w:rsid w:val="00292426"/>
    <w:rsid w:val="002A5EA5"/>
    <w:rsid w:val="002A79C5"/>
    <w:rsid w:val="002A7B13"/>
    <w:rsid w:val="002A7B59"/>
    <w:rsid w:val="002A7C8D"/>
    <w:rsid w:val="002B0E01"/>
    <w:rsid w:val="002C28E1"/>
    <w:rsid w:val="002C36C0"/>
    <w:rsid w:val="002E6755"/>
    <w:rsid w:val="002F5F01"/>
    <w:rsid w:val="00332342"/>
    <w:rsid w:val="0034043E"/>
    <w:rsid w:val="003505F3"/>
    <w:rsid w:val="00377810"/>
    <w:rsid w:val="003E2AD9"/>
    <w:rsid w:val="00447271"/>
    <w:rsid w:val="00460EFA"/>
    <w:rsid w:val="00482D26"/>
    <w:rsid w:val="004950B6"/>
    <w:rsid w:val="004B2A2A"/>
    <w:rsid w:val="004E1B9C"/>
    <w:rsid w:val="004E3D2B"/>
    <w:rsid w:val="00515B7B"/>
    <w:rsid w:val="00573C1C"/>
    <w:rsid w:val="00581AEF"/>
    <w:rsid w:val="00591398"/>
    <w:rsid w:val="00594110"/>
    <w:rsid w:val="005B1FEE"/>
    <w:rsid w:val="005B2537"/>
    <w:rsid w:val="005C7441"/>
    <w:rsid w:val="005D049E"/>
    <w:rsid w:val="00601782"/>
    <w:rsid w:val="006046D8"/>
    <w:rsid w:val="00605128"/>
    <w:rsid w:val="006213C7"/>
    <w:rsid w:val="0062544E"/>
    <w:rsid w:val="00644760"/>
    <w:rsid w:val="00653E2C"/>
    <w:rsid w:val="00655C2C"/>
    <w:rsid w:val="006629C0"/>
    <w:rsid w:val="006650B2"/>
    <w:rsid w:val="006A0898"/>
    <w:rsid w:val="006B0D79"/>
    <w:rsid w:val="006B1018"/>
    <w:rsid w:val="006B69D8"/>
    <w:rsid w:val="006D1B30"/>
    <w:rsid w:val="0070262B"/>
    <w:rsid w:val="007271B2"/>
    <w:rsid w:val="00746472"/>
    <w:rsid w:val="007568A8"/>
    <w:rsid w:val="00770997"/>
    <w:rsid w:val="00777148"/>
    <w:rsid w:val="007841F5"/>
    <w:rsid w:val="007A221F"/>
    <w:rsid w:val="007B6056"/>
    <w:rsid w:val="00807CE4"/>
    <w:rsid w:val="00815650"/>
    <w:rsid w:val="008216DF"/>
    <w:rsid w:val="0083497C"/>
    <w:rsid w:val="00835A49"/>
    <w:rsid w:val="008438F4"/>
    <w:rsid w:val="00891217"/>
    <w:rsid w:val="00893CEB"/>
    <w:rsid w:val="008A7A48"/>
    <w:rsid w:val="008B3768"/>
    <w:rsid w:val="008C1568"/>
    <w:rsid w:val="008D10EF"/>
    <w:rsid w:val="008D54AA"/>
    <w:rsid w:val="008E778E"/>
    <w:rsid w:val="00903C32"/>
    <w:rsid w:val="00936117"/>
    <w:rsid w:val="00937E91"/>
    <w:rsid w:val="00947AB0"/>
    <w:rsid w:val="009644E9"/>
    <w:rsid w:val="00995CD3"/>
    <w:rsid w:val="009B30DC"/>
    <w:rsid w:val="009F4B5F"/>
    <w:rsid w:val="009F7772"/>
    <w:rsid w:val="00A10646"/>
    <w:rsid w:val="00A151C9"/>
    <w:rsid w:val="00A169F3"/>
    <w:rsid w:val="00A2272A"/>
    <w:rsid w:val="00A56676"/>
    <w:rsid w:val="00A91785"/>
    <w:rsid w:val="00A91D0C"/>
    <w:rsid w:val="00AB4BEA"/>
    <w:rsid w:val="00B12739"/>
    <w:rsid w:val="00B44C8D"/>
    <w:rsid w:val="00B831F6"/>
    <w:rsid w:val="00B8628F"/>
    <w:rsid w:val="00BB79E1"/>
    <w:rsid w:val="00BC1977"/>
    <w:rsid w:val="00BC69DE"/>
    <w:rsid w:val="00BC6CE1"/>
    <w:rsid w:val="00BD4FB5"/>
    <w:rsid w:val="00BE5E1F"/>
    <w:rsid w:val="00BF6147"/>
    <w:rsid w:val="00C007D6"/>
    <w:rsid w:val="00C00DA8"/>
    <w:rsid w:val="00C06E77"/>
    <w:rsid w:val="00C1177D"/>
    <w:rsid w:val="00C27514"/>
    <w:rsid w:val="00C31BBA"/>
    <w:rsid w:val="00C374F2"/>
    <w:rsid w:val="00C4364F"/>
    <w:rsid w:val="00C67AB0"/>
    <w:rsid w:val="00C74C20"/>
    <w:rsid w:val="00C90C3A"/>
    <w:rsid w:val="00CB03CE"/>
    <w:rsid w:val="00CC160F"/>
    <w:rsid w:val="00D0155C"/>
    <w:rsid w:val="00D029F0"/>
    <w:rsid w:val="00D32578"/>
    <w:rsid w:val="00D328E2"/>
    <w:rsid w:val="00D60765"/>
    <w:rsid w:val="00D6531D"/>
    <w:rsid w:val="00D85386"/>
    <w:rsid w:val="00D87229"/>
    <w:rsid w:val="00D94F6B"/>
    <w:rsid w:val="00D95402"/>
    <w:rsid w:val="00D971DB"/>
    <w:rsid w:val="00DE042D"/>
    <w:rsid w:val="00DF1E53"/>
    <w:rsid w:val="00DF74EE"/>
    <w:rsid w:val="00E17950"/>
    <w:rsid w:val="00E7462C"/>
    <w:rsid w:val="00E95440"/>
    <w:rsid w:val="00EA351B"/>
    <w:rsid w:val="00EB25E8"/>
    <w:rsid w:val="00EC57AB"/>
    <w:rsid w:val="00F03F1E"/>
    <w:rsid w:val="00F225C6"/>
    <w:rsid w:val="00F33A2F"/>
    <w:rsid w:val="00F71228"/>
    <w:rsid w:val="00F72580"/>
    <w:rsid w:val="00F86834"/>
    <w:rsid w:val="00FB3397"/>
    <w:rsid w:val="2B0235C0"/>
    <w:rsid w:val="37DE4204"/>
    <w:rsid w:val="440E78EB"/>
    <w:rsid w:val="46F519A6"/>
    <w:rsid w:val="4EF96491"/>
    <w:rsid w:val="4FE512B2"/>
    <w:rsid w:val="506F4370"/>
    <w:rsid w:val="5138213D"/>
    <w:rsid w:val="5B2F3847"/>
    <w:rsid w:val="783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7"/>
    <w:link w:val="2"/>
    <w:uiPriority w:val="0"/>
    <w:rPr>
      <w:rFonts w:ascii="ˎ̥" w:hAnsi="ˎ̥" w:eastAsia="宋体" w:cs="Times New Roman"/>
      <w:kern w:val="0"/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420B7-B72B-4AD5-8929-8E685322B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825</Words>
  <Characters>4709</Characters>
  <Lines>39</Lines>
  <Paragraphs>11</Paragraphs>
  <TotalTime>5</TotalTime>
  <ScaleCrop>false</ScaleCrop>
  <LinksUpToDate>false</LinksUpToDate>
  <CharactersWithSpaces>5523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2020-03-17T08:57:00Z</dcterms:created>
  <dc:creator>Administrator</dc:creator>
  <cp:lastModifiedBy>吃土少女方</cp:lastModifiedBy>
  <cp:lastPrinted>2019-12-20T06:31:00Z</cp:lastPrinted>
  <dcterms:modified xsi:type="dcterms:W3CDTF">2020-09-23T02:10:04Z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