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13.030.</w:t>
            </w:r>
            <w:r>
              <w:rPr>
                <w:rFonts w:hint="eastAsia" w:ascii="黑体" w:hAnsi="黑体" w:eastAsia="黑体"/>
                <w:sz w:val="21"/>
                <w:szCs w:val="21"/>
              </w:rPr>
              <w:t>01</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8"/>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0"/>
                    <w:framePr w:wrap="notBeside" w:vAnchor="page" w:hAnchor="page" w:x="1372" w:y="568"/>
                    <w:ind w:left="420" w:right="624"/>
                    <w:rPr>
                      <w:rFonts w:ascii="宋体" w:hAnsi="宋体"/>
                      <w:sz w:val="28"/>
                      <w:szCs w:val="28"/>
                    </w:rPr>
                  </w:pPr>
                  <w: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rPr>
                      <w:rFonts w:hint="eastAsia"/>
                    </w:rPr>
                    <w:t>ZSESS</w:t>
                  </w:r>
                  <w:r>
                    <w:fldChar w:fldCharType="end"/>
                  </w:r>
                  <w:bookmarkEnd w:id="1"/>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P 53</w:t>
            </w:r>
            <w:r>
              <w:rPr>
                <w:rFonts w:ascii="黑体" w:hAnsi="黑体" w:eastAsia="黑体"/>
                <w:sz w:val="21"/>
                <w:szCs w:val="21"/>
              </w:rPr>
              <w:fldChar w:fldCharType="end"/>
            </w:r>
            <w:bookmarkEnd w:id="2"/>
          </w:p>
        </w:tc>
      </w:tr>
    </w:tbl>
    <w:p>
      <w:pPr>
        <w:pStyle w:val="51"/>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     </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pPr>
        <w:pStyle w:val="196"/>
        <w:framePr/>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XXX</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pPr>
        <w:pStyle w:val="197"/>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1"/>
        <w:framePr w:w="9639" w:h="6976" w:hRule="exact" w:hSpace="0" w:vSpace="0" w:wrap="around" w:hAnchor="page" w:y="6408"/>
        <w:jc w:val="center"/>
        <w:rPr>
          <w:rFonts w:ascii="黑体" w:hAnsi="黑体" w:eastAsia="黑体"/>
          <w:b w:val="0"/>
          <w:bCs w:val="0"/>
          <w:w w:val="100"/>
        </w:rPr>
      </w:pPr>
    </w:p>
    <w:p>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厨余垃圾收集运输工作规范</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S</w:t>
      </w:r>
      <w:r>
        <w:rPr>
          <w:rFonts w:eastAsia="黑体"/>
          <w:szCs w:val="28"/>
        </w:rPr>
        <w:t>pecification</w:t>
      </w:r>
      <w:r>
        <w:rPr>
          <w:rFonts w:hint="eastAsia" w:eastAsia="黑体"/>
          <w:szCs w:val="28"/>
        </w:rPr>
        <w:t xml:space="preserve"> for </w:t>
      </w:r>
      <w:r>
        <w:rPr>
          <w:rFonts w:eastAsia="黑体"/>
          <w:szCs w:val="28"/>
        </w:rPr>
        <w:t>collection and transportation of</w:t>
      </w:r>
      <w:r>
        <w:rPr>
          <w:rFonts w:hint="eastAsia" w:eastAsia="黑体"/>
          <w:szCs w:val="28"/>
        </w:rPr>
        <w:t xml:space="preserve"> food</w:t>
      </w:r>
      <w:r>
        <w:rPr>
          <w:rFonts w:eastAsia="黑体"/>
          <w:szCs w:val="28"/>
        </w:rPr>
        <w:t xml:space="preserve"> waste</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6"/>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6"/>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4"/>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5"/>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2"/>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中山市环境科学学会</w:t>
      </w:r>
      <w:r>
        <w:rPr>
          <w:rFonts w:hAnsi="黑体"/>
          <w:w w:val="100"/>
          <w:sz w:val="28"/>
        </w:rPr>
        <w:fldChar w:fldCharType="end"/>
      </w:r>
      <w:bookmarkEnd w:id="20"/>
      <w:r>
        <w:rPr>
          <w:rFonts w:ascii="Times New Roman"/>
          <w:w w:val="100"/>
          <w:sz w:val="28"/>
        </w:rPr>
        <w:t>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2"/>
        <w:spacing w:after="360"/>
      </w:pPr>
      <w:bookmarkStart w:id="21" w:name="BookMark1"/>
      <w:bookmarkStart w:id="22" w:name="_Toc110444975"/>
      <w:bookmarkStart w:id="23" w:name="_Toc110444765"/>
      <w:r>
        <w:rPr>
          <w:rFonts w:hint="eastAsia"/>
          <w:spacing w:val="320"/>
        </w:rPr>
        <w:t>目</w:t>
      </w:r>
      <w:r>
        <w:rPr>
          <w:rFonts w:hint="eastAsia"/>
        </w:rPr>
        <w:t>次</w:t>
      </w:r>
    </w:p>
    <w:p>
      <w:pPr>
        <w:pStyle w:val="19"/>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"_Toc110445124" </w:instrText>
      </w:r>
      <w:r>
        <w:fldChar w:fldCharType="separate"/>
      </w:r>
      <w:r>
        <w:rPr>
          <w:rStyle w:val="33"/>
          <w:rFonts w:hint="eastAsia"/>
        </w:rPr>
        <w:t>前言</w:t>
      </w:r>
      <w:r>
        <w:tab/>
      </w:r>
      <w:r>
        <w:fldChar w:fldCharType="begin"/>
      </w:r>
      <w:r>
        <w:instrText xml:space="preserve"> PAGEREF _Toc110445124 \h </w:instrText>
      </w:r>
      <w:r>
        <w:fldChar w:fldCharType="separate"/>
      </w:r>
      <w:r>
        <w:t>II</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"_Toc110445125" </w:instrText>
      </w:r>
      <w:r>
        <w:fldChar w:fldCharType="separate"/>
      </w:r>
      <w:r>
        <w:rPr>
          <w:rStyle w:val="33"/>
        </w:rPr>
        <w:t xml:space="preserve">1 </w:t>
      </w:r>
      <w:r>
        <w:rPr>
          <w:rStyle w:val="33"/>
          <w:rFonts w:hint="eastAsia"/>
        </w:rPr>
        <w:t xml:space="preserve"> 范围</w:t>
      </w:r>
      <w:r>
        <w:tab/>
      </w:r>
      <w:r>
        <w:fldChar w:fldCharType="begin"/>
      </w:r>
      <w:r>
        <w:instrText xml:space="preserve"> PAGEREF _Toc110445125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"_Toc110445126" </w:instrText>
      </w:r>
      <w:r>
        <w:fldChar w:fldCharType="separate"/>
      </w:r>
      <w:r>
        <w:rPr>
          <w:rStyle w:val="33"/>
        </w:rPr>
        <w:t xml:space="preserve">2 </w:t>
      </w:r>
      <w:r>
        <w:rPr>
          <w:rStyle w:val="33"/>
          <w:rFonts w:hint="eastAsia"/>
        </w:rPr>
        <w:t xml:space="preserve"> 规范性引用文件</w:t>
      </w:r>
      <w:r>
        <w:tab/>
      </w:r>
      <w:r>
        <w:fldChar w:fldCharType="begin"/>
      </w:r>
      <w:r>
        <w:instrText xml:space="preserve"> PAGEREF _Toc110445126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"_Toc110445127" </w:instrText>
      </w:r>
      <w:r>
        <w:fldChar w:fldCharType="separate"/>
      </w:r>
      <w:r>
        <w:rPr>
          <w:rStyle w:val="33"/>
        </w:rPr>
        <w:t xml:space="preserve">3 </w:t>
      </w:r>
      <w:r>
        <w:rPr>
          <w:rStyle w:val="33"/>
          <w:rFonts w:hint="eastAsia"/>
        </w:rPr>
        <w:t xml:space="preserve"> 术语和定义</w:t>
      </w:r>
      <w:r>
        <w:tab/>
      </w:r>
      <w:r>
        <w:fldChar w:fldCharType="begin"/>
      </w:r>
      <w:r>
        <w:instrText xml:space="preserve"> PAGEREF _Toc110445127 \h </w:instrText>
      </w:r>
      <w:r>
        <w:fldChar w:fldCharType="separate"/>
      </w:r>
      <w:r>
        <w:t>3</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"_Toc110445128" </w:instrText>
      </w:r>
      <w:r>
        <w:fldChar w:fldCharType="separate"/>
      </w:r>
      <w:r>
        <w:rPr>
          <w:rStyle w:val="33"/>
        </w:rPr>
        <w:t xml:space="preserve">4 </w:t>
      </w:r>
      <w:r>
        <w:rPr>
          <w:rStyle w:val="33"/>
          <w:rFonts w:hint="eastAsia"/>
        </w:rPr>
        <w:t xml:space="preserve"> 厨余垃圾收集</w:t>
      </w:r>
      <w:r>
        <w:tab/>
      </w:r>
      <w:r>
        <w:fldChar w:fldCharType="begin"/>
      </w:r>
      <w:r>
        <w:instrText xml:space="preserve"> PAGEREF _Toc110445128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"_Toc110445129" </w:instrText>
      </w:r>
      <w:r>
        <w:fldChar w:fldCharType="separate"/>
      </w:r>
      <w:r>
        <w:rPr>
          <w:rStyle w:val="33"/>
        </w:rPr>
        <w:t xml:space="preserve">5 </w:t>
      </w:r>
      <w:r>
        <w:rPr>
          <w:rStyle w:val="33"/>
          <w:rFonts w:hint="eastAsia"/>
        </w:rPr>
        <w:t xml:space="preserve"> 厨余垃圾运输</w:t>
      </w:r>
      <w:r>
        <w:tab/>
      </w:r>
      <w:r>
        <w:fldChar w:fldCharType="begin"/>
      </w:r>
      <w:r>
        <w:instrText xml:space="preserve"> PAGEREF _Toc110445129 \h </w:instrText>
      </w:r>
      <w:r>
        <w:fldChar w:fldCharType="separate"/>
      </w:r>
      <w:r>
        <w:t>4</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"_Toc110445130" </w:instrText>
      </w:r>
      <w:r>
        <w:fldChar w:fldCharType="separate"/>
      </w:r>
      <w:r>
        <w:rPr>
          <w:rStyle w:val="33"/>
          <w:rFonts w:hAnsi="黑体"/>
          <w:bCs/>
          <w:lang w:val="en"/>
        </w:rPr>
        <w:t xml:space="preserve">6 </w:t>
      </w:r>
      <w:r>
        <w:rPr>
          <w:rStyle w:val="33"/>
          <w:rFonts w:hint="eastAsia" w:hAnsi="黑体"/>
          <w:bCs/>
          <w:lang w:val="en"/>
        </w:rPr>
        <w:t xml:space="preserve"> 厨余垃圾转运站暂存</w:t>
      </w:r>
      <w:r>
        <w:tab/>
      </w:r>
      <w:r>
        <w:fldChar w:fldCharType="begin"/>
      </w:r>
      <w:r>
        <w:instrText xml:space="preserve"> PAGEREF _Toc110445130 \h </w:instrText>
      </w:r>
      <w:r>
        <w:fldChar w:fldCharType="separate"/>
      </w:r>
      <w:r>
        <w:t>5</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"_Toc110445131" </w:instrText>
      </w:r>
      <w:r>
        <w:fldChar w:fldCharType="separate"/>
      </w:r>
      <w:r>
        <w:rPr>
          <w:rStyle w:val="33"/>
          <w:rFonts w:hint="eastAsia"/>
        </w:rPr>
        <w:t>附录A（规范性）</w:t>
      </w:r>
      <w:r>
        <w:rPr>
          <w:rStyle w:val="33"/>
        </w:rPr>
        <w:t xml:space="preserve">  </w:t>
      </w:r>
      <w:r>
        <w:rPr>
          <w:rStyle w:val="33"/>
          <w:rFonts w:hint="eastAsia"/>
        </w:rPr>
        <w:t>生活垃圾分类运输车辆外观标识</w:t>
      </w:r>
      <w:r>
        <w:tab/>
      </w:r>
      <w:r>
        <w:fldChar w:fldCharType="begin"/>
      </w:r>
      <w:r>
        <w:instrText xml:space="preserve"> PAGEREF _Toc110445131 \h </w:instrText>
      </w:r>
      <w:r>
        <w:fldChar w:fldCharType="separate"/>
      </w:r>
      <w:r>
        <w:t>7</w:t>
      </w:r>
      <w:r>
        <w:fldChar w:fldCharType="end"/>
      </w:r>
      <w:r>
        <w:fldChar w:fldCharType="end"/>
      </w:r>
    </w:p>
    <w:p>
      <w:pPr>
        <w:pStyle w:val="19"/>
        <w:tabs>
          <w:tab w:val="right" w:leader="dot" w:pos="9344"/>
        </w:tabs>
        <w:rPr>
          <w:rFonts w:asciiTheme="minorHAnsi" w:hAnsiTheme="minorHAnsi" w:eastAsiaTheme="minorEastAsia" w:cstheme="minorBidi"/>
          <w:szCs w:val="22"/>
        </w:rPr>
      </w:pPr>
      <w:r>
        <w:fldChar w:fldCharType="begin"/>
      </w:r>
      <w:r>
        <w:instrText xml:space="preserve"> HYPERLINK \l "_Toc110445132" </w:instrText>
      </w:r>
      <w:r>
        <w:fldChar w:fldCharType="separate"/>
      </w:r>
      <w:r>
        <w:rPr>
          <w:rStyle w:val="33"/>
          <w:rFonts w:hint="eastAsia"/>
          <w:lang w:val="en"/>
        </w:rPr>
        <w:t>参考文献</w:t>
      </w:r>
      <w:r>
        <w:tab/>
      </w:r>
      <w:r>
        <w:fldChar w:fldCharType="begin"/>
      </w:r>
      <w:r>
        <w:instrText xml:space="preserve"> PAGEREF _Toc110445132 \h </w:instrText>
      </w:r>
      <w:r>
        <w:fldChar w:fldCharType="separate"/>
      </w:r>
      <w:r>
        <w:t>9</w:t>
      </w:r>
      <w:r>
        <w:fldChar w:fldCharType="end"/>
      </w:r>
      <w:r>
        <w:fldChar w:fldCharType="end"/>
      </w:r>
    </w:p>
    <w:p>
      <w:pPr>
        <w:pStyle w:val="92"/>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1"/>
    <w:p>
      <w:pPr>
        <w:pStyle w:val="90"/>
        <w:spacing w:before="900" w:after="360"/>
      </w:pPr>
      <w:bookmarkStart w:id="24" w:name="_Toc110445124"/>
      <w:bookmarkStart w:id="25" w:name="BookMark2"/>
      <w:r>
        <w:rPr>
          <w:spacing w:val="320"/>
        </w:rPr>
        <w:t>前</w:t>
      </w:r>
      <w:r>
        <w:t>言</w:t>
      </w:r>
      <w:bookmarkEnd w:id="22"/>
      <w:bookmarkEnd w:id="23"/>
      <w:bookmarkEnd w:id="24"/>
    </w:p>
    <w:p>
      <w:pPr>
        <w:pStyle w:val="57"/>
        <w:ind w:firstLine="420"/>
      </w:pPr>
      <w:r>
        <w:rPr>
          <w:rFonts w:hint="eastAsia"/>
        </w:rPr>
        <w:t>本文件按照GB/T 1.1—2020《标准化工作导则  第1部分：标准化文件的结构和起草规则》的规定起草。</w:t>
      </w:r>
    </w:p>
    <w:p>
      <w:pPr>
        <w:pStyle w:val="57"/>
        <w:ind w:firstLine="420"/>
      </w:pPr>
      <w:r>
        <w:rPr>
          <w:rFonts w:hint="eastAsia"/>
        </w:rPr>
        <w:t>请注意本文件的某些内容可能涉及专利。本文件的发布机构不承担识别专利的责任。</w:t>
      </w:r>
    </w:p>
    <w:p>
      <w:pPr>
        <w:pStyle w:val="57"/>
        <w:ind w:firstLine="420"/>
      </w:pPr>
      <w:r>
        <w:rPr>
          <w:rFonts w:hint="eastAsia"/>
        </w:rPr>
        <w:t>本文件由中山市城市管理和综合执法局提出。</w:t>
      </w:r>
    </w:p>
    <w:p>
      <w:pPr>
        <w:pStyle w:val="57"/>
        <w:ind w:firstLine="420"/>
      </w:pPr>
      <w:r>
        <w:rPr>
          <w:rFonts w:hint="eastAsia"/>
        </w:rPr>
        <w:t>本文件由中山市城市管理和综合执法局归口。</w:t>
      </w:r>
    </w:p>
    <w:p>
      <w:pPr>
        <w:pStyle w:val="57"/>
        <w:ind w:firstLine="420"/>
      </w:pPr>
      <w:r>
        <w:rPr>
          <w:rFonts w:hint="eastAsia"/>
        </w:rPr>
        <w:t>本文件起草单位：中山市城市管理和综合执法局、中山市生活垃圾处理管理中心、中山市环境保护技术中心、中山市环境卫生管理中心。</w:t>
      </w:r>
    </w:p>
    <w:p>
      <w:pPr>
        <w:pStyle w:val="57"/>
        <w:ind w:firstLine="420"/>
      </w:pPr>
      <w:r>
        <w:rPr>
          <w:rFonts w:hint="eastAsia"/>
        </w:rPr>
        <w:t>本文件主要起草人：王培明、陈益宝、陈娈、曹占峰、周团团、陈嘉文、冯子杰、黄子晴。</w:t>
      </w:r>
    </w:p>
    <w:p>
      <w:pPr>
        <w:pStyle w:val="57"/>
        <w:ind w:firstLine="0" w:firstLineChars="0"/>
        <w:sectPr>
          <w:pgSz w:w="11906" w:h="16838"/>
          <w:pgMar w:top="1928" w:right="1134" w:bottom="1134" w:left="1134" w:header="1418" w:footer="1134" w:gutter="284"/>
          <w:pgNumType w:fmt="upperRoman"/>
          <w:cols w:space="425" w:num="1"/>
          <w:formProt w:val="0"/>
          <w:docGrid w:linePitch="312" w:charSpace="0"/>
        </w:sectPr>
      </w:pPr>
    </w:p>
    <w:bookmarkEnd w:id="25"/>
    <w:p>
      <w:pPr>
        <w:spacing w:line="20" w:lineRule="exact"/>
        <w:jc w:val="center"/>
        <w:rPr>
          <w:rFonts w:ascii="黑体" w:hAnsi="黑体" w:eastAsia="黑体"/>
          <w:sz w:val="32"/>
          <w:szCs w:val="32"/>
        </w:rPr>
      </w:pPr>
      <w:bookmarkStart w:id="26" w:name="BookMark4"/>
    </w:p>
    <w:p>
      <w:pPr>
        <w:spacing w:line="20" w:lineRule="exact"/>
        <w:jc w:val="center"/>
        <w:rPr>
          <w:rFonts w:ascii="黑体" w:hAnsi="黑体" w:eastAsia="黑体"/>
          <w:sz w:val="32"/>
          <w:szCs w:val="32"/>
        </w:rPr>
      </w:pPr>
    </w:p>
    <w:sdt>
      <w:sdtPr>
        <w:tag w:val="NEW_STAND_NAME"/>
        <w:id w:val="595910757"/>
        <w:lock w:val="sdtLocked"/>
        <w:placeholder>
          <w:docPart w:val="DF10C3DEF7074DBF9CA9FF40758B7F82"/>
        </w:placeholder>
      </w:sdtPr>
      <w:sdtContent>
        <w:p>
          <w:pPr>
            <w:pStyle w:val="178"/>
            <w:spacing w:before="2" w:beforeLines="1" w:after="528" w:afterLines="220"/>
          </w:pPr>
          <w:bookmarkStart w:id="27" w:name="NEW_STAND_NAME"/>
          <w:r>
            <w:rPr>
              <w:rFonts w:hint="eastAsia"/>
            </w:rPr>
            <w:t>厨余垃圾收集运输工作规范</w:t>
          </w:r>
        </w:p>
      </w:sdtContent>
    </w:sdt>
    <w:bookmarkEnd w:id="27"/>
    <w:p>
      <w:pPr>
        <w:pStyle w:val="105"/>
        <w:spacing w:before="240" w:after="240"/>
      </w:pPr>
      <w:bookmarkStart w:id="28" w:name="_Toc26986530"/>
      <w:bookmarkStart w:id="29" w:name="_Toc110444766"/>
      <w:bookmarkStart w:id="30" w:name="_Toc17233333"/>
      <w:bookmarkStart w:id="31" w:name="_Toc110444976"/>
      <w:bookmarkStart w:id="32" w:name="_Toc97192964"/>
      <w:bookmarkStart w:id="33" w:name="_Toc17233325"/>
      <w:bookmarkStart w:id="34" w:name="_Toc110445125"/>
      <w:bookmarkStart w:id="35" w:name="_Toc26648465"/>
      <w:bookmarkStart w:id="36" w:name="_Toc26718930"/>
      <w:bookmarkStart w:id="37" w:name="_Toc24884211"/>
      <w:bookmarkStart w:id="38" w:name="_Toc24884218"/>
      <w:bookmarkStart w:id="39" w:name="_Toc26986771"/>
      <w:r>
        <w:rPr>
          <w:rFonts w:hint="eastAsia"/>
        </w:rPr>
        <w:t>范围</w:t>
      </w:r>
      <w:bookmarkEnd w:id="28"/>
      <w:bookmarkEnd w:id="29"/>
      <w:bookmarkEnd w:id="30"/>
      <w:bookmarkEnd w:id="31"/>
      <w:bookmarkEnd w:id="32"/>
      <w:bookmarkEnd w:id="33"/>
      <w:bookmarkEnd w:id="34"/>
      <w:bookmarkEnd w:id="35"/>
      <w:bookmarkEnd w:id="36"/>
      <w:bookmarkEnd w:id="37"/>
      <w:bookmarkEnd w:id="38"/>
      <w:bookmarkEnd w:id="39"/>
    </w:p>
    <w:p>
      <w:pPr>
        <w:pStyle w:val="57"/>
        <w:ind w:firstLine="420"/>
      </w:pPr>
      <w:bookmarkStart w:id="40" w:name="_Toc24884219"/>
      <w:bookmarkStart w:id="41" w:name="_Toc26648466"/>
      <w:bookmarkStart w:id="42" w:name="_Toc17233334"/>
      <w:bookmarkStart w:id="43" w:name="_Toc17233326"/>
      <w:bookmarkStart w:id="44" w:name="_Toc24884212"/>
      <w:r>
        <w:rPr>
          <w:rFonts w:hint="eastAsia"/>
        </w:rPr>
        <w:t>本规范界定了厨余垃圾收运工作的术语和定义，规定了厨余垃圾收集、运输和暂存的工作要求。</w:t>
      </w:r>
    </w:p>
    <w:p>
      <w:pPr>
        <w:pStyle w:val="57"/>
        <w:ind w:firstLine="420"/>
      </w:pPr>
      <w:r>
        <w:rPr>
          <w:rFonts w:hint="eastAsia"/>
        </w:rPr>
        <w:t>本规范适用于厨余垃圾收集和运输工作全过程。</w:t>
      </w:r>
    </w:p>
    <w:p>
      <w:pPr>
        <w:pStyle w:val="105"/>
        <w:spacing w:before="240" w:after="240"/>
      </w:pPr>
      <w:bookmarkStart w:id="45" w:name="_Toc26986772"/>
      <w:bookmarkStart w:id="46" w:name="_Toc26718931"/>
      <w:bookmarkStart w:id="47" w:name="_Toc110444977"/>
      <w:bookmarkStart w:id="48" w:name="_Toc97192965"/>
      <w:bookmarkStart w:id="49" w:name="_Toc110445126"/>
      <w:bookmarkStart w:id="50" w:name="_Toc26986531"/>
      <w:bookmarkStart w:id="51" w:name="_Toc110444767"/>
      <w:r>
        <w:rPr>
          <w:rFonts w:hint="eastAsia"/>
        </w:rPr>
        <w:t>规范性引用文件</w:t>
      </w:r>
      <w:bookmarkEnd w:id="40"/>
      <w:bookmarkEnd w:id="41"/>
      <w:bookmarkEnd w:id="42"/>
      <w:bookmarkEnd w:id="43"/>
      <w:bookmarkEnd w:id="44"/>
      <w:bookmarkEnd w:id="45"/>
      <w:bookmarkEnd w:id="46"/>
      <w:bookmarkEnd w:id="47"/>
      <w:bookmarkEnd w:id="48"/>
      <w:bookmarkEnd w:id="49"/>
      <w:bookmarkEnd w:id="50"/>
      <w:bookmarkEnd w:id="51"/>
    </w:p>
    <w:sdt>
      <w:sdtPr>
        <w:rPr>
          <w:rFonts w:hint="eastAsia"/>
        </w:rPr>
        <w:id w:val="715848253"/>
        <w:placeholder>
          <w:docPart w:val="F512FCFB92434327853351A7D4654383"/>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pPr>
      <w:r>
        <w:rPr>
          <w:rFonts w:hint="eastAsia"/>
        </w:rPr>
        <w:t>GB 3096 城市区域环境噪声标准</w:t>
      </w:r>
    </w:p>
    <w:p>
      <w:pPr>
        <w:pStyle w:val="57"/>
        <w:ind w:firstLine="420"/>
      </w:pPr>
      <w:r>
        <w:rPr>
          <w:rFonts w:hint="eastAsia"/>
        </w:rPr>
        <w:t>GB 14554 恶臭污染物排放标准</w:t>
      </w:r>
    </w:p>
    <w:p>
      <w:pPr>
        <w:pStyle w:val="57"/>
        <w:ind w:firstLine="420"/>
      </w:pPr>
      <w:r>
        <w:t>GB 39800.1</w:t>
      </w:r>
      <w:r>
        <w:rPr>
          <w:rFonts w:hint="eastAsia"/>
        </w:rPr>
        <w:t xml:space="preserve"> 个体防护装备配备规范</w:t>
      </w:r>
    </w:p>
    <w:p>
      <w:pPr>
        <w:pStyle w:val="57"/>
        <w:ind w:firstLine="420"/>
      </w:pPr>
      <w:r>
        <w:rPr>
          <w:rFonts w:hint="eastAsia"/>
        </w:rPr>
        <w:t>GB 50140 建筑灭火器配置设计规范</w:t>
      </w:r>
    </w:p>
    <w:p>
      <w:pPr>
        <w:pStyle w:val="57"/>
        <w:ind w:firstLine="420"/>
      </w:pPr>
      <w:r>
        <w:rPr>
          <w:rFonts w:hint="eastAsia"/>
        </w:rPr>
        <w:t>GB 50352 民用建筑设计统一标准</w:t>
      </w:r>
    </w:p>
    <w:p>
      <w:pPr>
        <w:pStyle w:val="57"/>
        <w:ind w:firstLine="420"/>
      </w:pPr>
      <w:r>
        <w:rPr>
          <w:rFonts w:hint="eastAsia"/>
        </w:rPr>
        <w:t>CJJ/T 47 生活垃圾转运站技术规范</w:t>
      </w:r>
    </w:p>
    <w:p>
      <w:pPr>
        <w:pStyle w:val="57"/>
        <w:ind w:firstLine="420"/>
      </w:pPr>
      <w:r>
        <w:rPr>
          <w:rFonts w:hint="eastAsia"/>
        </w:rPr>
        <w:t>CJJ 117 生活垃圾转运站工程项目建设标准</w:t>
      </w:r>
    </w:p>
    <w:p>
      <w:pPr>
        <w:pStyle w:val="57"/>
        <w:ind w:firstLine="420"/>
      </w:pPr>
      <w:r>
        <w:t>T/HW 00008</w:t>
      </w:r>
      <w:r>
        <w:rPr>
          <w:rFonts w:hint="eastAsia"/>
        </w:rPr>
        <w:t xml:space="preserve"> 餐厨垃圾收运技术规程</w:t>
      </w:r>
    </w:p>
    <w:p>
      <w:pPr>
        <w:pStyle w:val="105"/>
        <w:spacing w:before="240" w:after="240"/>
      </w:pPr>
      <w:bookmarkStart w:id="52" w:name="_Toc110445127"/>
      <w:bookmarkStart w:id="53" w:name="_Toc110444768"/>
      <w:bookmarkStart w:id="54" w:name="_Toc110444978"/>
      <w:bookmarkStart w:id="55" w:name="_Toc97192966"/>
      <w:r>
        <w:rPr>
          <w:rFonts w:hint="eastAsia"/>
          <w:szCs w:val="21"/>
        </w:rPr>
        <w:t>术语和定义</w:t>
      </w:r>
      <w:bookmarkEnd w:id="52"/>
      <w:bookmarkEnd w:id="53"/>
      <w:bookmarkEnd w:id="54"/>
      <w:bookmarkEnd w:id="55"/>
    </w:p>
    <w:sdt>
      <w:sdtPr>
        <w:id w:val="-1909835108"/>
        <w:placeholder>
          <w:docPart w:val="D63AF2041E994AF08651FD270C1F76FD"/>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56" w:name="_Toc26986532"/>
          <w:bookmarkEnd w:id="56"/>
          <w:r>
            <w:rPr>
              <w:rFonts w:hint="eastAsia"/>
            </w:rPr>
            <w:t>下列术语和定义适用于本文件。</w:t>
          </w:r>
        </w:p>
      </w:sdtContent>
    </w:sdt>
    <w:p>
      <w:pPr>
        <w:pStyle w:val="224"/>
        <w:ind w:left="420" w:hanging="420" w:hangingChars="200"/>
        <w:rPr>
          <w:rFonts w:ascii="黑体" w:hAnsi="黑体" w:eastAsia="黑体"/>
        </w:rPr>
      </w:pPr>
      <w:bookmarkStart w:id="57" w:name="_Toc110444769"/>
      <w:r>
        <w:rPr>
          <w:rFonts w:ascii="黑体" w:hAnsi="黑体" w:eastAsia="黑体"/>
        </w:rPr>
        <w:br w:type="textWrapping"/>
      </w:r>
      <w:r>
        <w:rPr>
          <w:rFonts w:hint="eastAsia" w:ascii="黑体" w:hAnsi="黑体" w:eastAsia="黑体"/>
        </w:rPr>
        <w:t>生活垃圾 municipal solid waste</w:t>
      </w:r>
      <w:bookmarkEnd w:id="57"/>
    </w:p>
    <w:p>
      <w:pPr>
        <w:pStyle w:val="57"/>
        <w:ind w:firstLine="420"/>
      </w:pPr>
      <w:r>
        <w:rPr>
          <w:rFonts w:hint="eastAsia"/>
        </w:rPr>
        <w:t>日常生活中或者为日常生活提供服务的活动中产生的固体废物，以及法律、行政法规规定视为生活垃圾的固体废物。</w:t>
      </w:r>
    </w:p>
    <w:p>
      <w:pPr>
        <w:pStyle w:val="224"/>
        <w:ind w:left="420" w:hanging="420" w:hangingChars="200"/>
        <w:rPr>
          <w:rFonts w:ascii="黑体" w:hAnsi="黑体" w:eastAsia="黑体"/>
        </w:rPr>
      </w:pPr>
      <w:bookmarkStart w:id="58" w:name="_Toc110444770"/>
      <w:r>
        <w:rPr>
          <w:rFonts w:ascii="黑体" w:hAnsi="黑体" w:eastAsia="黑体"/>
        </w:rPr>
        <w:br w:type="textWrapping"/>
      </w:r>
      <w:r>
        <w:rPr>
          <w:rFonts w:hint="eastAsia" w:ascii="黑体" w:hAnsi="黑体" w:eastAsia="黑体"/>
        </w:rPr>
        <w:t xml:space="preserve">厨余垃圾 </w:t>
      </w:r>
      <w:r>
        <w:rPr>
          <w:rFonts w:ascii="黑体" w:hAnsi="黑体" w:eastAsia="黑体"/>
        </w:rPr>
        <w:t>food waste</w:t>
      </w:r>
      <w:bookmarkEnd w:id="58"/>
    </w:p>
    <w:p>
      <w:pPr>
        <w:pStyle w:val="57"/>
        <w:ind w:firstLine="420"/>
      </w:pPr>
      <w:r>
        <w:rPr>
          <w:rFonts w:hint="eastAsia"/>
        </w:rPr>
        <w:t>易腐烂的、含有机质的生活垃圾，包括家庭厨余垃圾、餐厨垃圾和其他厨余垃圾。</w:t>
      </w:r>
    </w:p>
    <w:p>
      <w:pPr>
        <w:pStyle w:val="224"/>
        <w:ind w:left="420" w:hanging="420" w:hangingChars="200"/>
        <w:rPr>
          <w:rFonts w:ascii="黑体" w:hAnsi="黑体" w:eastAsia="黑体"/>
        </w:rPr>
      </w:pPr>
      <w:r>
        <w:rPr>
          <w:rFonts w:ascii="黑体" w:hAnsi="黑体" w:eastAsia="黑体"/>
        </w:rPr>
        <w:br w:type="textWrapping"/>
      </w:r>
      <w:r>
        <w:rPr>
          <w:rFonts w:ascii="黑体" w:hAnsi="黑体" w:eastAsia="黑体"/>
        </w:rPr>
        <w:t>家庭厨余垃圾</w:t>
      </w:r>
      <w:r>
        <w:rPr>
          <w:rFonts w:hint="eastAsia" w:ascii="黑体" w:hAnsi="黑体" w:eastAsia="黑体"/>
        </w:rPr>
        <w:t xml:space="preserve"> food waste from household</w:t>
      </w:r>
    </w:p>
    <w:p>
      <w:pPr>
        <w:pStyle w:val="57"/>
        <w:ind w:firstLine="420"/>
      </w:pPr>
      <w:r>
        <w:rPr>
          <w:rFonts w:hint="eastAsia"/>
        </w:rPr>
        <w:t>居民家庭日常生活过程中产生的菜帮、菜叶、瓜果皮壳、剩菜剩饭、废弃食物等易腐性垃圾。</w:t>
      </w:r>
    </w:p>
    <w:p>
      <w:pPr>
        <w:pStyle w:val="224"/>
        <w:ind w:left="420" w:hanging="420" w:hangingChars="200"/>
        <w:rPr>
          <w:rFonts w:ascii="黑体" w:hAnsi="黑体" w:eastAsia="黑体"/>
        </w:rPr>
      </w:pPr>
      <w:bookmarkStart w:id="59" w:name="_Toc110444771"/>
      <w:r>
        <w:rPr>
          <w:rFonts w:ascii="黑体" w:hAnsi="黑体" w:eastAsia="黑体"/>
        </w:rPr>
        <w:br w:type="textWrapping"/>
      </w:r>
      <w:r>
        <w:rPr>
          <w:rFonts w:hint="eastAsia" w:ascii="黑体" w:hAnsi="黑体" w:eastAsia="黑体"/>
        </w:rPr>
        <w:t xml:space="preserve">餐厨垃圾 restaurant </w:t>
      </w:r>
      <w:r>
        <w:rPr>
          <w:rFonts w:ascii="黑体" w:hAnsi="黑体" w:eastAsia="黑体"/>
        </w:rPr>
        <w:t>food waste</w:t>
      </w:r>
      <w:bookmarkEnd w:id="59"/>
    </w:p>
    <w:p>
      <w:pPr>
        <w:pStyle w:val="57"/>
        <w:ind w:firstLine="420"/>
      </w:pPr>
      <w:bookmarkStart w:id="60" w:name="_Toc110444772"/>
      <w:bookmarkStart w:id="61" w:name="_Toc110444979"/>
      <w:r>
        <w:rPr>
          <w:rFonts w:hint="eastAsia"/>
        </w:rPr>
        <w:t>宾馆、饭店、餐馆等餐饮经营者及提供集体供餐食堂的机关、企事业单位、学校等单位在饮食服务、单位供餐等活动中产生的食物残余废水、食品加工废料、过期食品和废弃食用油脂等。</w:t>
      </w:r>
      <w:bookmarkEnd w:id="60"/>
      <w:bookmarkEnd w:id="61"/>
    </w:p>
    <w:p>
      <w:pPr>
        <w:pStyle w:val="224"/>
        <w:ind w:left="420" w:hanging="420" w:hangingChars="200"/>
        <w:rPr>
          <w:rFonts w:ascii="黑体" w:hAnsi="黑体" w:eastAsia="黑体"/>
        </w:rPr>
      </w:pPr>
      <w:bookmarkStart w:id="62" w:name="_Toc110444773"/>
      <w:r>
        <w:rPr>
          <w:rFonts w:ascii="黑体" w:hAnsi="黑体" w:eastAsia="黑体"/>
        </w:rPr>
        <w:br w:type="textWrapping"/>
      </w:r>
      <w:r>
        <w:rPr>
          <w:rFonts w:hint="eastAsia" w:ascii="黑体" w:hAnsi="黑体" w:eastAsia="黑体"/>
        </w:rPr>
        <w:t>其他厨余垃圾 other food waste</w:t>
      </w:r>
      <w:bookmarkEnd w:id="62"/>
    </w:p>
    <w:p>
      <w:pPr>
        <w:pStyle w:val="57"/>
        <w:ind w:firstLine="420"/>
      </w:pPr>
      <w:r>
        <w:rPr>
          <w:rFonts w:hint="eastAsia"/>
        </w:rPr>
        <w:t>农贸市场、农产品批发市场产生的蔬菜瓜果垃圾、腐肉、肉碎骨、水产品、畜禽内脏等。</w:t>
      </w:r>
      <w:bookmarkStart w:id="63" w:name="_Toc110444774"/>
    </w:p>
    <w:p>
      <w:pPr>
        <w:pStyle w:val="224"/>
        <w:ind w:left="420" w:hanging="420" w:hangingChars="200"/>
        <w:rPr>
          <w:rFonts w:ascii="黑体" w:hAnsi="黑体" w:eastAsia="黑体"/>
        </w:rPr>
      </w:pPr>
      <w:r>
        <w:rPr>
          <w:rFonts w:ascii="黑体" w:hAnsi="黑体" w:eastAsia="黑体"/>
        </w:rPr>
        <w:br w:type="textWrapping"/>
      </w:r>
      <w:r>
        <w:rPr>
          <w:rFonts w:hint="eastAsia" w:ascii="黑体" w:hAnsi="黑体" w:eastAsia="黑体"/>
        </w:rPr>
        <w:t>厨余垃圾收集点 collection point</w:t>
      </w:r>
      <w:bookmarkEnd w:id="63"/>
      <w:r>
        <w:rPr>
          <w:rFonts w:hint="eastAsia" w:ascii="黑体" w:hAnsi="黑体" w:eastAsia="黑体"/>
        </w:rPr>
        <w:t xml:space="preserve"> of </w:t>
      </w:r>
      <w:r>
        <w:rPr>
          <w:rFonts w:ascii="黑体" w:hAnsi="黑体" w:eastAsia="黑体"/>
        </w:rPr>
        <w:t>food</w:t>
      </w:r>
      <w:r>
        <w:rPr>
          <w:rFonts w:hint="eastAsia" w:ascii="黑体" w:hAnsi="黑体" w:eastAsia="黑体"/>
        </w:rPr>
        <w:t xml:space="preserve"> </w:t>
      </w:r>
      <w:r>
        <w:rPr>
          <w:rFonts w:ascii="黑体" w:hAnsi="黑体" w:eastAsia="黑体"/>
        </w:rPr>
        <w:t>waste</w:t>
      </w:r>
    </w:p>
    <w:p>
      <w:pPr>
        <w:pStyle w:val="57"/>
        <w:ind w:firstLine="420"/>
      </w:pPr>
      <w:bookmarkStart w:id="64" w:name="_Toc110444980"/>
      <w:bookmarkStart w:id="65" w:name="_Toc110444775"/>
      <w:r>
        <w:rPr>
          <w:rFonts w:hint="eastAsia"/>
        </w:rPr>
        <w:t>厨余垃圾集中投放/收集的地点。</w:t>
      </w:r>
      <w:bookmarkEnd w:id="64"/>
      <w:bookmarkEnd w:id="65"/>
    </w:p>
    <w:p>
      <w:pPr>
        <w:pStyle w:val="57"/>
        <w:ind w:firstLine="420"/>
      </w:pPr>
      <w:r>
        <w:rPr>
          <w:rFonts w:hint="eastAsia"/>
        </w:rPr>
        <w:t>[来源：</w:t>
      </w:r>
      <w:r>
        <w:t>T/HW 00008—2020</w:t>
      </w:r>
      <w:r>
        <w:rPr>
          <w:rFonts w:hint="eastAsia"/>
        </w:rPr>
        <w:t>，2.0.5，有修改]</w:t>
      </w:r>
    </w:p>
    <w:p>
      <w:pPr>
        <w:pStyle w:val="224"/>
        <w:ind w:left="420" w:hanging="420" w:hangingChars="200"/>
        <w:rPr>
          <w:rFonts w:ascii="黑体" w:hAnsi="黑体" w:eastAsia="黑体"/>
        </w:rPr>
      </w:pPr>
      <w:bookmarkStart w:id="66" w:name="_Toc110444776"/>
      <w:r>
        <w:rPr>
          <w:rFonts w:ascii="黑体" w:hAnsi="黑体" w:eastAsia="黑体"/>
        </w:rPr>
        <w:br w:type="textWrapping"/>
      </w:r>
      <w:r>
        <w:rPr>
          <w:rFonts w:hint="eastAsia" w:ascii="黑体" w:hAnsi="黑体" w:eastAsia="黑体"/>
        </w:rPr>
        <w:t xml:space="preserve">厨余垃圾集散点 </w:t>
      </w:r>
      <w:r>
        <w:rPr>
          <w:rFonts w:ascii="黑体" w:hAnsi="黑体" w:eastAsia="黑体"/>
        </w:rPr>
        <w:t>collection and distribution point</w:t>
      </w:r>
      <w:r>
        <w:rPr>
          <w:rFonts w:hint="eastAsia" w:ascii="黑体" w:hAnsi="黑体" w:eastAsia="黑体"/>
        </w:rPr>
        <w:t xml:space="preserve"> of food waste</w:t>
      </w:r>
      <w:bookmarkEnd w:id="66"/>
    </w:p>
    <w:p>
      <w:pPr>
        <w:pStyle w:val="57"/>
        <w:ind w:firstLine="420"/>
      </w:pPr>
      <w:bookmarkStart w:id="67" w:name="_Toc110444981"/>
      <w:bookmarkStart w:id="68" w:name="_Toc110444777"/>
      <w:r>
        <w:rPr>
          <w:rFonts w:hint="eastAsia"/>
        </w:rPr>
        <w:t>将分散在收集点的厨余垃圾收集容器集中存放的地点。</w:t>
      </w:r>
      <w:bookmarkEnd w:id="67"/>
      <w:bookmarkEnd w:id="68"/>
    </w:p>
    <w:p>
      <w:pPr>
        <w:pStyle w:val="57"/>
        <w:ind w:firstLine="420"/>
      </w:pPr>
      <w:r>
        <w:rPr>
          <w:rFonts w:hint="eastAsia"/>
        </w:rPr>
        <w:t>[来源：</w:t>
      </w:r>
      <w:r>
        <w:t>T/HW 00008—2020</w:t>
      </w:r>
      <w:r>
        <w:rPr>
          <w:rFonts w:hint="eastAsia"/>
        </w:rPr>
        <w:t>，2.0.6，有修改]</w:t>
      </w:r>
    </w:p>
    <w:p>
      <w:pPr>
        <w:pStyle w:val="224"/>
        <w:ind w:left="420" w:hanging="420" w:hangingChars="200"/>
        <w:rPr>
          <w:rFonts w:ascii="黑体" w:hAnsi="黑体" w:eastAsia="黑体"/>
        </w:rPr>
      </w:pPr>
      <w:r>
        <w:rPr>
          <w:rFonts w:ascii="黑体" w:hAnsi="黑体" w:eastAsia="黑体"/>
        </w:rPr>
        <w:br w:type="textWrapping"/>
      </w:r>
      <w:r>
        <w:rPr>
          <w:rFonts w:ascii="黑体" w:hAnsi="黑体" w:eastAsia="黑体"/>
        </w:rPr>
        <w:t>厨余垃圾转运站</w:t>
      </w:r>
      <w:r>
        <w:rPr>
          <w:rFonts w:hint="eastAsia" w:ascii="黑体" w:hAnsi="黑体" w:eastAsia="黑体"/>
        </w:rPr>
        <w:t xml:space="preserve"> transfer station of food waste</w:t>
      </w:r>
    </w:p>
    <w:p>
      <w:pPr>
        <w:pStyle w:val="57"/>
        <w:ind w:firstLine="420"/>
      </w:pPr>
      <w:r>
        <w:rPr>
          <w:rFonts w:hint="eastAsia"/>
        </w:rPr>
        <w:t>在厨余垃圾产地（或收集、集散设施）至末端处理设施之间设立的具备临时存放和中转餐厨垃圾功能的设施。</w:t>
      </w:r>
    </w:p>
    <w:p>
      <w:pPr>
        <w:pStyle w:val="57"/>
        <w:ind w:firstLine="420"/>
      </w:pPr>
      <w:r>
        <w:rPr>
          <w:rFonts w:hint="eastAsia"/>
        </w:rPr>
        <w:t>[来源：</w:t>
      </w:r>
      <w:r>
        <w:t>T/HW 00008—2020</w:t>
      </w:r>
      <w:r>
        <w:rPr>
          <w:rFonts w:hint="eastAsia"/>
        </w:rPr>
        <w:t>，2.0.7，有修改]</w:t>
      </w:r>
    </w:p>
    <w:p>
      <w:pPr>
        <w:pStyle w:val="105"/>
        <w:spacing w:before="240" w:after="240"/>
        <w:rPr>
          <w:szCs w:val="21"/>
        </w:rPr>
      </w:pPr>
      <w:bookmarkStart w:id="69" w:name="_Toc110445128"/>
      <w:bookmarkStart w:id="70" w:name="_Toc110444778"/>
      <w:bookmarkStart w:id="71" w:name="_Toc110444982"/>
      <w:r>
        <w:rPr>
          <w:szCs w:val="21"/>
        </w:rPr>
        <w:t>厨余垃圾收集</w:t>
      </w:r>
      <w:bookmarkEnd w:id="69"/>
      <w:bookmarkEnd w:id="70"/>
      <w:bookmarkEnd w:id="71"/>
    </w:p>
    <w:p>
      <w:pPr>
        <w:pStyle w:val="163"/>
        <w:ind w:left="0"/>
      </w:pPr>
      <w:r>
        <w:rPr>
          <w:rFonts w:hint="eastAsia"/>
        </w:rPr>
        <w:t>各类产生源场所应根据厨余垃圾产生量，配足标准的厨余垃圾收集容器，并保持厨余垃圾收集容器正常使用。</w:t>
      </w:r>
    </w:p>
    <w:p>
      <w:pPr>
        <w:pStyle w:val="163"/>
        <w:ind w:left="0"/>
      </w:pPr>
      <w:r>
        <w:rPr>
          <w:rFonts w:hint="eastAsia"/>
        </w:rPr>
        <w:t>厨余垃圾收集容器应摆放整齐、外观整洁、分类标志清晰可见，如有破损应及时维修或更换；容器密闭后应能防止水分和气体外溢，存放于阴凉通风处，存储过程中应采取除臭措施。</w:t>
      </w:r>
    </w:p>
    <w:p>
      <w:pPr>
        <w:pStyle w:val="163"/>
        <w:ind w:left="0"/>
      </w:pPr>
      <w:r>
        <w:rPr>
          <w:rFonts w:hint="eastAsia"/>
        </w:rPr>
        <w:t>厨余垃圾收集容器在投放和收运作业时不应抛洒滴漏，保持作业环境卫生。</w:t>
      </w:r>
    </w:p>
    <w:p>
      <w:pPr>
        <w:pStyle w:val="163"/>
        <w:ind w:left="0"/>
      </w:pPr>
      <w:r>
        <w:rPr>
          <w:rFonts w:hint="eastAsia"/>
        </w:rPr>
        <w:t>厨余垃圾应当在指定时间段投放至厨余垃圾收集容器，不应与其他生活垃圾混合收集；使用一次性收纳袋装纳的，应当破袋投放，并将收纳袋另行投放至其他垃圾收集容器。</w:t>
      </w:r>
    </w:p>
    <w:p>
      <w:pPr>
        <w:pStyle w:val="163"/>
        <w:ind w:left="0"/>
      </w:pPr>
      <w:r>
        <w:rPr>
          <w:rFonts w:hint="eastAsia"/>
        </w:rPr>
        <w:t>厨余垃圾运输设备和收集容器应具有符合GB/T 19095要求的标识。</w:t>
      </w:r>
    </w:p>
    <w:p>
      <w:pPr>
        <w:pStyle w:val="163"/>
        <w:ind w:left="0"/>
      </w:pPr>
      <w:r>
        <w:rPr>
          <w:rFonts w:hint="eastAsia"/>
        </w:rPr>
        <w:t>厨余垃圾应每日收集不少于2次，在指定投放时间段结束后应立即密闭存放，并在12h内清运。</w:t>
      </w:r>
    </w:p>
    <w:p>
      <w:pPr>
        <w:pStyle w:val="163"/>
        <w:ind w:left="0"/>
      </w:pPr>
      <w:r>
        <w:rPr>
          <w:rFonts w:hint="eastAsia"/>
        </w:rPr>
        <w:t>厨余垃圾收集作业宜在错峰时段进行，作业单位应在人流量较少时将厨余垃圾收集容器转移至指定收集点。</w:t>
      </w:r>
    </w:p>
    <w:p>
      <w:pPr>
        <w:pStyle w:val="163"/>
        <w:ind w:left="0"/>
      </w:pPr>
      <w:r>
        <w:rPr>
          <w:rFonts w:hint="eastAsia"/>
        </w:rPr>
        <w:t>厨余垃圾收集点和集散点的设置应满足以下条件：</w:t>
      </w:r>
    </w:p>
    <w:p>
      <w:pPr>
        <w:pStyle w:val="175"/>
        <w:rPr>
          <w:lang w:val="en"/>
        </w:rPr>
      </w:pPr>
      <w:r>
        <w:rPr>
          <w:rFonts w:hint="eastAsia" w:hAnsi="宋体"/>
          <w:szCs w:val="21"/>
        </w:rPr>
        <w:t>厨余垃圾收集点的选址宜便于安排垃圾运输路线，满足收运作业要求，且不影响道路交通安全，对环境影响小。</w:t>
      </w:r>
    </w:p>
    <w:p>
      <w:pPr>
        <w:pStyle w:val="175"/>
        <w:rPr>
          <w:lang w:val="en"/>
        </w:rPr>
      </w:pPr>
      <w:r>
        <w:rPr>
          <w:rFonts w:hint="eastAsia" w:hAnsi="宋体"/>
          <w:szCs w:val="21"/>
        </w:rPr>
        <w:t>厨余垃圾收集点和集散点应满足垃圾收集、暂存、运输的周转和空间要求。</w:t>
      </w:r>
    </w:p>
    <w:p>
      <w:pPr>
        <w:pStyle w:val="175"/>
      </w:pPr>
      <w:r>
        <w:rPr>
          <w:rFonts w:hint="eastAsia"/>
        </w:rPr>
        <w:t>原点位不满足需求的，宜改建、扩建为规范的厨余垃圾收集点和集散点，改建、扩建点位应充分利用原有点位的建构筑物及配套设施。</w:t>
      </w:r>
      <w:bookmarkStart w:id="101" w:name="_GoBack"/>
      <w:bookmarkEnd w:id="101"/>
    </w:p>
    <w:p>
      <w:pPr>
        <w:pStyle w:val="175"/>
      </w:pPr>
      <w:r>
        <w:rPr>
          <w:rFonts w:hint="eastAsia" w:hAnsi="宋体"/>
          <w:szCs w:val="21"/>
        </w:rPr>
        <w:t>厨余垃圾收集点和集散点应配套安装防雨防晒顶棚，符合防渗要求，地面硬底化，配套洗手、照明等设施，应设置供水、排污设施，做好灭蚊灭蝇、除臭设施措施，除臭效果应符合GB 14554。</w:t>
      </w:r>
    </w:p>
    <w:p>
      <w:pPr>
        <w:pStyle w:val="175"/>
        <w:rPr>
          <w:lang w:val="en"/>
        </w:rPr>
      </w:pPr>
      <w:r>
        <w:rPr>
          <w:rFonts w:hint="eastAsia" w:hAnsi="宋体"/>
          <w:szCs w:val="21"/>
        </w:rPr>
        <w:t>应根据厨余垃圾实际清运量及收运频次合理配备厨余垃圾收集容器。</w:t>
      </w:r>
    </w:p>
    <w:p>
      <w:pPr>
        <w:pStyle w:val="175"/>
        <w:rPr>
          <w:lang w:val="en"/>
        </w:rPr>
      </w:pPr>
      <w:r>
        <w:rPr>
          <w:rFonts w:hint="eastAsia" w:hAnsi="宋体"/>
          <w:szCs w:val="21"/>
        </w:rPr>
        <w:t>配置的厨余垃圾分类收集容器应摆放整齐、外观整洁、分类标志清晰可见，容器内垃圾不应高出容器边缘，密闭后应能防止水分和气体外溢，如有破损应及时维修或更换。</w:t>
      </w:r>
    </w:p>
    <w:p>
      <w:pPr>
        <w:pStyle w:val="175"/>
        <w:rPr>
          <w:lang w:val="en"/>
        </w:rPr>
      </w:pPr>
      <w:r>
        <w:rPr>
          <w:rFonts w:hint="eastAsia" w:hAnsi="宋体"/>
          <w:szCs w:val="21"/>
        </w:rPr>
        <w:t>应设置厨余垃圾分类公示牌或宣传栏，明示投放指引、分类收运责任主体、分类垃圾去向、作业形式、作业单位、作业时间、联系电话等服务内容。</w:t>
      </w:r>
    </w:p>
    <w:p>
      <w:pPr>
        <w:pStyle w:val="105"/>
        <w:spacing w:before="240" w:after="240"/>
        <w:rPr>
          <w:szCs w:val="28"/>
        </w:rPr>
      </w:pPr>
      <w:bookmarkStart w:id="72" w:name="_Toc110445129"/>
      <w:bookmarkStart w:id="73" w:name="_Toc110444779"/>
      <w:bookmarkStart w:id="74" w:name="_Toc110444983"/>
      <w:r>
        <w:rPr>
          <w:rFonts w:hint="eastAsia"/>
          <w:szCs w:val="28"/>
        </w:rPr>
        <w:t>厨余垃圾运输</w:t>
      </w:r>
      <w:bookmarkEnd w:id="72"/>
      <w:bookmarkEnd w:id="73"/>
      <w:bookmarkEnd w:id="74"/>
    </w:p>
    <w:p>
      <w:pPr>
        <w:pStyle w:val="106"/>
        <w:spacing w:before="120" w:after="120"/>
        <w:ind w:left="0"/>
      </w:pPr>
      <w:r>
        <w:rPr>
          <w:rFonts w:hint="eastAsia"/>
        </w:rPr>
        <w:t>一般要求</w:t>
      </w:r>
    </w:p>
    <w:p>
      <w:pPr>
        <w:pStyle w:val="66"/>
        <w:spacing w:before="0" w:beforeLines="0" w:after="0" w:afterLines="0"/>
        <w:rPr>
          <w:rFonts w:ascii="宋体" w:eastAsia="宋体"/>
        </w:rPr>
      </w:pPr>
      <w:r>
        <w:rPr>
          <w:rFonts w:hint="eastAsia" w:ascii="宋体" w:eastAsia="宋体"/>
        </w:rPr>
        <w:t>厨余垃圾收运作业应符合下列要求:</w:t>
      </w:r>
    </w:p>
    <w:p>
      <w:pPr>
        <w:pStyle w:val="175"/>
        <w:numPr>
          <w:ilvl w:val="0"/>
          <w:numId w:val="32"/>
        </w:numPr>
      </w:pPr>
      <w:r>
        <w:rPr>
          <w:rFonts w:hint="eastAsia"/>
        </w:rPr>
        <w:t>应按照环境卫生作业标准、规范和收集运输协议及时收运厨余垃圾，并保持收集车辆、收集容器和作业环境整洁。</w:t>
      </w:r>
    </w:p>
    <w:p>
      <w:pPr>
        <w:pStyle w:val="175"/>
      </w:pPr>
      <w:r>
        <w:rPr>
          <w:rFonts w:hint="eastAsia"/>
        </w:rPr>
        <w:t>厨余垃圾收运应实行密闭化运输，并配备相应数量的专用全密闭收运车辆。</w:t>
      </w:r>
    </w:p>
    <w:p>
      <w:pPr>
        <w:pStyle w:val="175"/>
      </w:pPr>
      <w:r>
        <w:rPr>
          <w:rFonts w:hint="eastAsia"/>
        </w:rPr>
        <w:t>分类收运的点位、频次、时间和线路宜根据情况合理确定。</w:t>
      </w:r>
    </w:p>
    <w:p>
      <w:pPr>
        <w:pStyle w:val="175"/>
      </w:pPr>
      <w:r>
        <w:rPr>
          <w:rFonts w:hint="eastAsia"/>
        </w:rPr>
        <w:t>厨余垃圾应运送到指定的处理场所，不应擅自改变处理场所，不应与其他生活垃圾混合收集、运输。</w:t>
      </w:r>
    </w:p>
    <w:p>
      <w:pPr>
        <w:pStyle w:val="175"/>
      </w:pPr>
      <w:r>
        <w:rPr>
          <w:rFonts w:hint="eastAsia"/>
        </w:rPr>
        <w:t>在运输过程中厨余垃圾不应随意倾倒、遗撒、丢弃。</w:t>
      </w:r>
    </w:p>
    <w:p>
      <w:pPr>
        <w:pStyle w:val="66"/>
        <w:spacing w:before="0" w:beforeLines="0" w:after="0" w:afterLines="0"/>
        <w:rPr>
          <w:rFonts w:ascii="宋体" w:eastAsia="宋体"/>
        </w:rPr>
      </w:pPr>
      <w:r>
        <w:rPr>
          <w:rFonts w:hint="eastAsia" w:ascii="宋体" w:eastAsia="宋体"/>
        </w:rPr>
        <w:t>厨余垃圾收运单位应符合下列要求：</w:t>
      </w:r>
    </w:p>
    <w:p>
      <w:pPr>
        <w:pStyle w:val="175"/>
        <w:numPr>
          <w:ilvl w:val="0"/>
          <w:numId w:val="33"/>
        </w:numPr>
      </w:pPr>
      <w:r>
        <w:rPr>
          <w:rFonts w:hint="eastAsia"/>
        </w:rPr>
        <w:t>从事厨余垃圾收运的企业应取得城市生活垃圾经营性清扫、收集、运输服务许可证。</w:t>
      </w:r>
    </w:p>
    <w:p>
      <w:pPr>
        <w:pStyle w:val="175"/>
        <w:numPr>
          <w:ilvl w:val="0"/>
          <w:numId w:val="33"/>
        </w:numPr>
      </w:pPr>
      <w:r>
        <w:rPr>
          <w:rFonts w:hint="eastAsia"/>
        </w:rPr>
        <w:t>厨余垃圾收运单位应制定厨余垃圾收集运输应急预案，并报相关行政主管部门备案。</w:t>
      </w:r>
    </w:p>
    <w:p>
      <w:pPr>
        <w:pStyle w:val="175"/>
        <w:numPr>
          <w:ilvl w:val="0"/>
          <w:numId w:val="33"/>
        </w:numPr>
      </w:pPr>
      <w:r>
        <w:rPr>
          <w:rFonts w:hint="eastAsia"/>
        </w:rPr>
        <w:t>未经市城管和执法主管部门或者镇人民政府（管理委员会、街道办事处）餐厨垃圾管理工作机构同意，厨余垃圾收运作业单位不应擅自停业、歇业。</w:t>
      </w:r>
    </w:p>
    <w:p>
      <w:pPr>
        <w:pStyle w:val="66"/>
        <w:spacing w:before="0" w:beforeLines="0" w:after="0" w:afterLines="0"/>
        <w:rPr>
          <w:rFonts w:ascii="宋体" w:eastAsia="宋体"/>
        </w:rPr>
      </w:pPr>
      <w:r>
        <w:rPr>
          <w:rFonts w:hint="eastAsia" w:ascii="宋体" w:eastAsia="宋体"/>
        </w:rPr>
        <w:t>收运车辆应具有自动装卸功能、防臭味扩散功能和计量功能，并安装必要的监控设备，厨余垃圾运输车应按照附录A的要求在车身醒目位置喷涂与厨余垃圾相关的标识。</w:t>
      </w:r>
    </w:p>
    <w:p>
      <w:pPr>
        <w:pStyle w:val="66"/>
        <w:spacing w:before="0" w:beforeLines="0" w:after="0" w:afterLines="0"/>
        <w:rPr>
          <w:rFonts w:ascii="宋体" w:eastAsia="宋体"/>
        </w:rPr>
      </w:pPr>
      <w:r>
        <w:rPr>
          <w:rFonts w:hint="eastAsia" w:ascii="宋体" w:eastAsia="宋体"/>
        </w:rPr>
        <w:t>收运路线应避开交通拥挤路段，其设计原则为“干线走快线、支线走密集区”，保证服务范围内全部厨余垃圾得到收集，并应减少对交通的影响，减少运输成本。</w:t>
      </w:r>
    </w:p>
    <w:p>
      <w:pPr>
        <w:pStyle w:val="106"/>
        <w:spacing w:before="120" w:after="120"/>
        <w:ind w:left="0"/>
        <w:rPr>
          <w:lang w:val="en"/>
        </w:rPr>
      </w:pPr>
      <w:bookmarkStart w:id="75" w:name="_Toc110444984"/>
      <w:bookmarkStart w:id="76" w:name="_Toc110444780"/>
      <w:r>
        <w:rPr>
          <w:lang w:val="en"/>
        </w:rPr>
        <w:t>收运模式</w:t>
      </w:r>
      <w:bookmarkEnd w:id="75"/>
      <w:bookmarkEnd w:id="76"/>
    </w:p>
    <w:p>
      <w:pPr>
        <w:pStyle w:val="66"/>
        <w:spacing w:before="0" w:beforeLines="0" w:after="0" w:afterLines="0"/>
        <w:rPr>
          <w:rFonts w:ascii="宋体" w:eastAsia="宋体"/>
        </w:rPr>
      </w:pPr>
      <w:r>
        <w:rPr>
          <w:rFonts w:hint="eastAsia" w:ascii="宋体" w:eastAsia="宋体"/>
        </w:rPr>
        <w:t>厨余垃圾收运主要采用“小型厨余垃圾分类车转运、中转点暂存转运、大型分类车直运”相结合的收运模式。</w:t>
      </w:r>
    </w:p>
    <w:p>
      <w:pPr>
        <w:pStyle w:val="66"/>
        <w:spacing w:before="0" w:beforeLines="0" w:after="0" w:afterLines="0"/>
        <w:rPr>
          <w:rFonts w:ascii="宋体" w:eastAsia="宋体"/>
        </w:rPr>
      </w:pPr>
      <w:r>
        <w:rPr>
          <w:rFonts w:hint="eastAsia" w:ascii="宋体" w:eastAsia="宋体"/>
        </w:rPr>
        <w:t>对于产量大且具备大型厨余垃圾车直运条件的厨余垃圾收集点，收运单位可根据实际情况选择直运模式，将厨余垃圾从厨余垃圾收集点直接运至末端处理设施。直运模式示意图见图1。</w:t>
      </w:r>
    </w:p>
    <w:p>
      <w:pPr>
        <w:pStyle w:val="66"/>
        <w:numPr>
          <w:ilvl w:val="0"/>
          <w:numId w:val="0"/>
        </w:numPr>
        <w:spacing w:before="120" w:after="120"/>
        <w:ind w:left="567"/>
        <w:rPr>
          <w:rFonts w:ascii="宋体" w:eastAsia="宋体"/>
        </w:rPr>
      </w:pPr>
      <w:r>
        <w:rPr>
          <w:rFonts w:ascii="宋体" w:hAnsi="宋体" w:eastAsia="宋体"/>
          <w:sz w:val="15"/>
          <w:szCs w:val="15"/>
        </w:rPr>
        <mc:AlternateContent>
          <mc:Choice Requires="wpg">
            <w:drawing>
              <wp:anchor distT="0" distB="0" distL="114300" distR="114300" simplePos="0" relativeHeight="251661312" behindDoc="0" locked="0" layoutInCell="1" allowOverlap="1">
                <wp:simplePos x="0" y="0"/>
                <wp:positionH relativeFrom="column">
                  <wp:posOffset>554990</wp:posOffset>
                </wp:positionH>
                <wp:positionV relativeFrom="paragraph">
                  <wp:posOffset>188595</wp:posOffset>
                </wp:positionV>
                <wp:extent cx="4826635" cy="430530"/>
                <wp:effectExtent l="0" t="0" r="0" b="7620"/>
                <wp:wrapNone/>
                <wp:docPr id="4" name="组合 44"/>
                <wp:cNvGraphicFramePr/>
                <a:graphic xmlns:a="http://schemas.openxmlformats.org/drawingml/2006/main">
                  <a:graphicData uri="http://schemas.microsoft.com/office/word/2010/wordprocessingGroup">
                    <wpg:wgp>
                      <wpg:cNvGrpSpPr/>
                      <wpg:grpSpPr>
                        <a:xfrm>
                          <a:off x="0" y="0"/>
                          <a:ext cx="4826635" cy="430530"/>
                          <a:chOff x="0" y="0"/>
                          <a:chExt cx="7601" cy="678"/>
                        </a:xfrm>
                      </wpg:grpSpPr>
                      <pic:pic xmlns:pic="http://schemas.openxmlformats.org/drawingml/2006/picture">
                        <pic:nvPicPr>
                          <pic:cNvPr id="67" name="图片 67"/>
                          <pic:cNvPicPr>
                            <a:picLocks noChangeAspect="1"/>
                          </pic:cNvPicPr>
                        </pic:nvPicPr>
                        <pic:blipFill>
                          <a:blip r:embed="rId17"/>
                          <a:stretch>
                            <a:fillRect/>
                          </a:stretch>
                        </pic:blipFill>
                        <pic:spPr>
                          <a:xfrm>
                            <a:off x="0" y="130"/>
                            <a:ext cx="1910" cy="548"/>
                          </a:xfrm>
                          <a:prstGeom prst="rect">
                            <a:avLst/>
                          </a:prstGeom>
                        </pic:spPr>
                      </pic:pic>
                      <wps:wsp>
                        <wps:cNvPr id="68" name="文本框 46"/>
                        <wps:cNvSpPr txBox="1"/>
                        <wps:spPr>
                          <a:xfrm>
                            <a:off x="276" y="236"/>
                            <a:ext cx="1448"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厨余垃圾收集点</w:t>
                              </w:r>
                            </w:p>
                          </w:txbxContent>
                        </wps:txbx>
                        <wps:bodyPr wrap="square" rtlCol="0">
                          <a:spAutoFit/>
                        </wps:bodyPr>
                      </wps:wsp>
                      <wps:wsp>
                        <wps:cNvPr id="69" name="文本框 50"/>
                        <wps:cNvSpPr txBox="1"/>
                        <wps:spPr>
                          <a:xfrm>
                            <a:off x="3240" y="0"/>
                            <a:ext cx="739"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收运车</w:t>
                              </w:r>
                            </w:p>
                          </w:txbxContent>
                        </wps:txbx>
                        <wps:bodyPr wrap="none" rtlCol="0">
                          <a:spAutoFit/>
                        </wps:bodyPr>
                      </wps:wsp>
                      <wps:wsp>
                        <wps:cNvPr id="72" name="直接箭头连接符 72"/>
                        <wps:cNvCnPr/>
                        <wps:spPr>
                          <a:xfrm>
                            <a:off x="2138" y="409"/>
                            <a:ext cx="3480" cy="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4" name="图片 74"/>
                          <pic:cNvPicPr>
                            <a:picLocks noChangeAspect="1"/>
                          </pic:cNvPicPr>
                        </pic:nvPicPr>
                        <pic:blipFill>
                          <a:blip r:embed="rId17"/>
                          <a:stretch>
                            <a:fillRect/>
                          </a:stretch>
                        </pic:blipFill>
                        <pic:spPr>
                          <a:xfrm>
                            <a:off x="5877" y="130"/>
                            <a:ext cx="1611" cy="548"/>
                          </a:xfrm>
                          <a:prstGeom prst="rect">
                            <a:avLst/>
                          </a:prstGeom>
                        </pic:spPr>
                      </pic:pic>
                      <wps:wsp>
                        <wps:cNvPr id="75" name="文本框 54"/>
                        <wps:cNvSpPr txBox="1"/>
                        <wps:spPr>
                          <a:xfrm>
                            <a:off x="6073" y="236"/>
                            <a:ext cx="1528"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末端处理设施</w:t>
                              </w:r>
                            </w:p>
                          </w:txbxContent>
                        </wps:txbx>
                        <wps:bodyPr wrap="square" rtlCol="0">
                          <a:spAutoFit/>
                        </wps:bodyPr>
                      </wps:wsp>
                    </wpg:wgp>
                  </a:graphicData>
                </a:graphic>
              </wp:anchor>
            </w:drawing>
          </mc:Choice>
          <mc:Fallback>
            <w:pict>
              <v:group id="组合 44" o:spid="_x0000_s1026" o:spt="203" style="position:absolute;left:0pt;margin-left:43.7pt;margin-top:14.85pt;height:33.9pt;width:380.05pt;z-index:251661312;mso-width-relative:page;mso-height-relative:page;" coordsize="7601,678" o:gfxdata="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">
                <o:lock v:ext="edit" aspectratio="f"/>
                <v:shape id="_x0000_s1026" o:spid="_x0000_s1026" o:spt="75" type="#_x0000_t75" style="position:absolute;left:0;top:130;height:548;width:1910;" filled="f" o:preferrelative="t" stroked="f" coordsize="21600,21600" o:gfxdata="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ZMWq/&#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46" o:spid="_x0000_s1026" o:spt="202" type="#_x0000_t202" style="position:absolute;left:276;top:236;height:339;width:1448;" filled="f" stroked="f" coordsize="21600,21600" o:gfxdata="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8BLTL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厨余垃圾收集点</w:t>
                        </w:r>
                      </w:p>
                    </w:txbxContent>
                  </v:textbox>
                </v:shape>
                <v:shape id="文本框 50" o:spid="_x0000_s1026" o:spt="202" type="#_x0000_t202" style="position:absolute;left:3240;top:0;height:339;width:739;mso-wrap-style:none;" filled="f" stroked="f" coordsize="21600,21600" o:gfxdata="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Pcz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收运车</w:t>
                        </w:r>
                      </w:p>
                    </w:txbxContent>
                  </v:textbox>
                </v:shape>
                <v:shape id="_x0000_s1026" o:spid="_x0000_s1026" o:spt="32" type="#_x0000_t32" style="position:absolute;left:2138;top:409;height:0;width:3480;" filled="f" stroked="t" coordsize="21600,21600" o:gfxdata="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ughS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75" type="#_x0000_t75" style="position:absolute;left:5877;top:130;height:548;width:1611;" filled="f" o:preferrelative="t" stroked="f" coordsize="21600,21600" o:gfxdata="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SOcC/&#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54" o:spid="_x0000_s1026" o:spt="202" type="#_x0000_t202" style="position:absolute;left:6073;top:236;height:339;width:1528;" filled="f" stroked="f" coordsize="21600,21600" o:gfxdata="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hyD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末端处理设施</w:t>
                        </w:r>
                      </w:p>
                    </w:txbxContent>
                  </v:textbox>
                </v:shape>
              </v:group>
            </w:pict>
          </mc:Fallback>
        </mc:AlternateContent>
      </w:r>
    </w:p>
    <w:p>
      <w:pPr>
        <w:pStyle w:val="57"/>
        <w:ind w:firstLine="420"/>
      </w:pPr>
    </w:p>
    <w:p>
      <w:pPr>
        <w:pStyle w:val="57"/>
        <w:ind w:firstLine="420"/>
      </w:pPr>
    </w:p>
    <w:p>
      <w:pPr>
        <w:pStyle w:val="57"/>
        <w:ind w:firstLine="420"/>
      </w:pPr>
    </w:p>
    <w:p>
      <w:pPr>
        <w:pStyle w:val="115"/>
        <w:spacing w:before="120" w:after="120"/>
        <w:rPr>
          <w:lang w:val="en"/>
        </w:rPr>
      </w:pPr>
      <w:r>
        <w:rPr>
          <w:rFonts w:hint="eastAsia"/>
          <w:lang w:val="en"/>
        </w:rPr>
        <w:t>直运模式示意图</w:t>
      </w:r>
    </w:p>
    <w:p>
      <w:pPr>
        <w:pStyle w:val="57"/>
        <w:ind w:firstLine="420"/>
        <w:rPr>
          <w:lang w:val="en"/>
        </w:rPr>
      </w:pPr>
    </w:p>
    <w:p>
      <w:pPr>
        <w:pStyle w:val="66"/>
        <w:spacing w:before="0" w:beforeLines="0" w:after="0" w:afterLines="0"/>
        <w:rPr>
          <w:rFonts w:ascii="宋体" w:eastAsia="宋体"/>
        </w:rPr>
      </w:pPr>
      <w:r>
        <w:rPr>
          <w:rFonts w:hint="eastAsia" w:ascii="宋体" w:eastAsia="宋体"/>
        </w:rPr>
        <w:t>对于运距较远、道路狭窄、厨余垃圾量少等不满足直运条件的，收运单位可根据实际情况采用转运模式，将厨余垃圾从厨余垃圾收集点先运送至厨余垃圾转运站，再由大型运输车集中运送至末端处理设施。转运+直运模式示意图见图2。</w:t>
      </w:r>
    </w:p>
    <w:p>
      <w:pPr>
        <w:pStyle w:val="66"/>
        <w:numPr>
          <w:ilvl w:val="0"/>
          <w:numId w:val="0"/>
        </w:numPr>
        <w:spacing w:before="120" w:after="120"/>
        <w:ind w:left="567"/>
        <w:rPr>
          <w:rFonts w:ascii="宋体" w:eastAsia="宋体"/>
        </w:rPr>
      </w:pPr>
      <w:r>
        <mc:AlternateContent>
          <mc:Choice Requires="wpg">
            <w:drawing>
              <wp:anchor distT="0" distB="0" distL="114300" distR="114300" simplePos="0" relativeHeight="251662336" behindDoc="0" locked="0" layoutInCell="1" allowOverlap="1">
                <wp:simplePos x="0" y="0"/>
                <wp:positionH relativeFrom="column">
                  <wp:posOffset>438150</wp:posOffset>
                </wp:positionH>
                <wp:positionV relativeFrom="paragraph">
                  <wp:posOffset>222250</wp:posOffset>
                </wp:positionV>
                <wp:extent cx="5033010" cy="434340"/>
                <wp:effectExtent l="0" t="0" r="0" b="4445"/>
                <wp:wrapNone/>
                <wp:docPr id="76" name="组合 32"/>
                <wp:cNvGraphicFramePr/>
                <a:graphic xmlns:a="http://schemas.openxmlformats.org/drawingml/2006/main">
                  <a:graphicData uri="http://schemas.microsoft.com/office/word/2010/wordprocessingGroup">
                    <wpg:wgp>
                      <wpg:cNvGrpSpPr/>
                      <wpg:grpSpPr>
                        <a:xfrm>
                          <a:off x="0" y="0"/>
                          <a:ext cx="5032857" cy="434242"/>
                          <a:chOff x="0" y="0"/>
                          <a:chExt cx="7858" cy="678"/>
                        </a:xfrm>
                      </wpg:grpSpPr>
                      <pic:pic xmlns:pic="http://schemas.openxmlformats.org/drawingml/2006/picture">
                        <pic:nvPicPr>
                          <pic:cNvPr id="77" name="图片 77"/>
                          <pic:cNvPicPr>
                            <a:picLocks noChangeAspect="1"/>
                          </pic:cNvPicPr>
                        </pic:nvPicPr>
                        <pic:blipFill>
                          <a:blip r:embed="rId17"/>
                          <a:stretch>
                            <a:fillRect/>
                          </a:stretch>
                        </pic:blipFill>
                        <pic:spPr>
                          <a:xfrm>
                            <a:off x="0" y="89"/>
                            <a:ext cx="1910" cy="548"/>
                          </a:xfrm>
                          <a:prstGeom prst="rect">
                            <a:avLst/>
                          </a:prstGeom>
                        </pic:spPr>
                      </pic:pic>
                      <wps:wsp>
                        <wps:cNvPr id="78" name="文本框 34"/>
                        <wps:cNvSpPr txBox="1"/>
                        <wps:spPr>
                          <a:xfrm>
                            <a:off x="265" y="195"/>
                            <a:ext cx="1459"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厨余垃圾收集点</w:t>
                              </w:r>
                            </w:p>
                          </w:txbxContent>
                        </wps:txbx>
                        <wps:bodyPr wrap="square" rtlCol="0">
                          <a:noAutofit/>
                        </wps:bodyPr>
                      </wps:wsp>
                      <wps:wsp>
                        <wps:cNvPr id="79" name="文本框 35"/>
                        <wps:cNvSpPr txBox="1"/>
                        <wps:spPr>
                          <a:xfrm>
                            <a:off x="2236" y="0"/>
                            <a:ext cx="589"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转运</w:t>
                              </w:r>
                            </w:p>
                          </w:txbxContent>
                        </wps:txbx>
                        <wps:bodyPr wrap="square" rtlCol="0">
                          <a:noAutofit/>
                        </wps:bodyPr>
                      </wps:wsp>
                      <pic:pic xmlns:pic="http://schemas.openxmlformats.org/drawingml/2006/picture">
                        <pic:nvPicPr>
                          <pic:cNvPr id="80" name="图片 80"/>
                          <pic:cNvPicPr>
                            <a:picLocks noChangeAspect="1"/>
                          </pic:cNvPicPr>
                        </pic:nvPicPr>
                        <pic:blipFill>
                          <a:blip r:embed="rId17"/>
                          <a:stretch>
                            <a:fillRect/>
                          </a:stretch>
                        </pic:blipFill>
                        <pic:spPr>
                          <a:xfrm>
                            <a:off x="3241" y="130"/>
                            <a:ext cx="1330" cy="548"/>
                          </a:xfrm>
                          <a:prstGeom prst="rect">
                            <a:avLst/>
                          </a:prstGeom>
                        </pic:spPr>
                      </pic:pic>
                      <wps:wsp>
                        <wps:cNvPr id="81" name="文本框 37"/>
                        <wps:cNvSpPr txBox="1"/>
                        <wps:spPr>
                          <a:xfrm>
                            <a:off x="3241" y="236"/>
                            <a:ext cx="1633"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厨余垃圾转运站</w:t>
                              </w:r>
                            </w:p>
                          </w:txbxContent>
                        </wps:txbx>
                        <wps:bodyPr wrap="square" rtlCol="0">
                          <a:noAutofit/>
                        </wps:bodyPr>
                      </wps:wsp>
                      <wps:wsp>
                        <wps:cNvPr id="82" name="文本框 38"/>
                        <wps:cNvSpPr txBox="1"/>
                        <wps:spPr>
                          <a:xfrm>
                            <a:off x="5038" y="0"/>
                            <a:ext cx="739"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收运车</w:t>
                              </w:r>
                            </w:p>
                          </w:txbxContent>
                        </wps:txbx>
                        <wps:bodyPr wrap="square" rtlCol="0">
                          <a:noAutofit/>
                        </wps:bodyPr>
                      </wps:wsp>
                      <wps:wsp>
                        <wps:cNvPr id="83" name="直接箭头连接符 83"/>
                        <wps:cNvCnPr/>
                        <wps:spPr>
                          <a:xfrm flipV="1">
                            <a:off x="2056" y="337"/>
                            <a:ext cx="1024" cy="1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84" name="直接箭头连接符 84"/>
                        <wps:cNvCnPr/>
                        <wps:spPr>
                          <a:xfrm>
                            <a:off x="4772" y="409"/>
                            <a:ext cx="1260" cy="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7" name="图片 97"/>
                          <pic:cNvPicPr>
                            <a:picLocks noChangeAspect="1"/>
                          </pic:cNvPicPr>
                        </pic:nvPicPr>
                        <pic:blipFill>
                          <a:blip r:embed="rId17"/>
                          <a:stretch>
                            <a:fillRect/>
                          </a:stretch>
                        </pic:blipFill>
                        <pic:spPr>
                          <a:xfrm>
                            <a:off x="6134" y="130"/>
                            <a:ext cx="1611" cy="548"/>
                          </a:xfrm>
                          <a:prstGeom prst="rect">
                            <a:avLst/>
                          </a:prstGeom>
                        </pic:spPr>
                      </pic:pic>
                      <wps:wsp>
                        <wps:cNvPr id="98" name="文本框 42"/>
                        <wps:cNvSpPr txBox="1"/>
                        <wps:spPr>
                          <a:xfrm>
                            <a:off x="6330" y="236"/>
                            <a:ext cx="1528" cy="339"/>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末端处理设施</w:t>
                              </w:r>
                            </w:p>
                          </w:txbxContent>
                        </wps:txbx>
                        <wps:bodyPr wrap="square" rtlCol="0">
                          <a:noAutofit/>
                        </wps:bodyPr>
                      </wps:wsp>
                    </wpg:wgp>
                  </a:graphicData>
                </a:graphic>
              </wp:anchor>
            </w:drawing>
          </mc:Choice>
          <mc:Fallback>
            <w:pict>
              <v:group id="组合 32" o:spid="_x0000_s1026" o:spt="203" style="position:absolute;left:0pt;margin-left:34.5pt;margin-top:17.5pt;height:34.2pt;width:396.3pt;z-index:251662336;mso-width-relative:page;mso-height-relative:page;" coordsize="7858,678" o:gfxdata="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">
                <o:lock v:ext="edit" aspectratio="f"/>
                <v:shape id="_x0000_s1026" o:spid="_x0000_s1026" o:spt="75" type="#_x0000_t75" style="position:absolute;left:0;top:89;height:548;width:1910;" filled="f" o:preferrelative="t" stroked="f" coordsize="21600,21600" o:gfxdata="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Ap7e/&#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34" o:spid="_x0000_s1026" o:spt="202" type="#_x0000_t202" style="position:absolute;left:265;top:195;height:339;width:1459;"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厨余垃圾收集点</w:t>
                        </w:r>
                      </w:p>
                    </w:txbxContent>
                  </v:textbox>
                </v:shape>
                <v:shape id="文本框 35" o:spid="_x0000_s1026" o:spt="202" type="#_x0000_t202" style="position:absolute;left:2236;top:0;height:339;width:589;"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转运</w:t>
                        </w:r>
                      </w:p>
                    </w:txbxContent>
                  </v:textbox>
                </v:shape>
                <v:shape id="_x0000_s1026" o:spid="_x0000_s1026" o:spt="75" type="#_x0000_t75" style="position:absolute;left:3241;top:130;height:548;width:1330;" filled="f" o:preferrelative="t" stroked="f" coordsize="21600,21600" o:gfxdata="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xP5LsAAADb&#10;AAAADwAAAAAAAAABACAAAAAiAAAAZHJzL2Rvd25yZXYueG1sUEsBAhQAFAAAAAgAh07iQDMvBZ47&#10;AAAAOQAAABAAAAAAAAAAAQAgAAAACgEAAGRycy9zaGFwZXhtbC54bWxQSwUGAAAAAAYABgBbAQAA&#10;tAMAAAAA&#10;">
                  <v:fill on="f" focussize="0,0"/>
                  <v:stroke on="f"/>
                  <v:imagedata r:id="rId17" o:title=""/>
                  <o:lock v:ext="edit" aspectratio="t"/>
                </v:shape>
                <v:shape id="文本框 37" o:spid="_x0000_s1026" o:spt="202" type="#_x0000_t202" style="position:absolute;left:3241;top:236;height:339;width:1633;"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厨余垃圾转运站</w:t>
                        </w:r>
                      </w:p>
                    </w:txbxContent>
                  </v:textbox>
                </v:shape>
                <v:shape id="文本框 38" o:spid="_x0000_s1026" o:spt="202" type="#_x0000_t202" style="position:absolute;left:5038;top:0;height:339;width:739;"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收运车</w:t>
                        </w:r>
                      </w:p>
                    </w:txbxContent>
                  </v:textbox>
                </v:shape>
                <v:shape id="_x0000_s1026" o:spid="_x0000_s1026" o:spt="32" type="#_x0000_t32" style="position:absolute;left:2056;top:337;flip:y;height:10;width:1024;" filled="f" stroked="t" coordsize="21600,21600" o:gfxdata="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UQEe/&#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shape id="_x0000_s1026" o:spid="_x0000_s1026" o:spt="32" type="#_x0000_t32" style="position:absolute;left:4772;top:409;height:0;width:1260;" filled="f" stroked="t" coordsize="21600,21600" o:gfxdata="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ez9y8AAAA&#10;2wAAAA8AAAAAAAAAAQAgAAAAIgAAAGRycy9kb3ducmV2LnhtbFBLAQIUABQAAAAIAIdO4kAzLwWe&#10;OwAAADkAAAAQAAAAAAAAAAEAIAAAAAsBAABkcnMvc2hhcGV4bWwueG1sUEsFBgAAAAAGAAYAWwEA&#10;ALUDAAAAAA==&#10;">
                  <v:fill on="f" focussize="0,0"/>
                  <v:stroke weight="1pt" color="#000000 [3213]" miterlimit="8" joinstyle="miter" endarrow="open"/>
                  <v:imagedata o:title=""/>
                  <o:lock v:ext="edit" aspectratio="f"/>
                </v:shape>
                <v:shape id="_x0000_s1026" o:spid="_x0000_s1026" o:spt="75" type="#_x0000_t75" style="position:absolute;left:6134;top:130;height:548;width:1611;" filled="f" o:preferrelative="t" stroked="f" coordsize="21600,21600" o:gfxdata="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MQU2/&#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42" o:spid="_x0000_s1026" o:spt="202" type="#_x0000_t202" style="position:absolute;left:6330;top:236;height:339;width:1528;"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末端处理设施</w:t>
                        </w:r>
                      </w:p>
                    </w:txbxContent>
                  </v:textbox>
                </v:shape>
              </v:group>
            </w:pict>
          </mc:Fallback>
        </mc:AlternateContent>
      </w:r>
    </w:p>
    <w:p>
      <w:pPr>
        <w:pStyle w:val="66"/>
        <w:numPr>
          <w:ilvl w:val="0"/>
          <w:numId w:val="0"/>
        </w:numPr>
        <w:spacing w:before="120" w:after="120"/>
        <w:ind w:left="567"/>
        <w:rPr>
          <w:rFonts w:ascii="宋体" w:eastAsia="宋体"/>
        </w:rPr>
      </w:pPr>
    </w:p>
    <w:p>
      <w:pPr>
        <w:pStyle w:val="57"/>
        <w:ind w:firstLine="420"/>
      </w:pPr>
    </w:p>
    <w:p>
      <w:pPr>
        <w:pStyle w:val="115"/>
        <w:spacing w:before="120" w:after="120"/>
        <w:rPr>
          <w:lang w:val="en"/>
        </w:rPr>
      </w:pPr>
      <w:r>
        <w:rPr>
          <w:rFonts w:hint="eastAsia"/>
          <w:lang w:val="en"/>
        </w:rPr>
        <w:t>转运</w:t>
      </w:r>
      <w:r>
        <w:rPr>
          <w:lang w:val="en"/>
        </w:rPr>
        <w:t>+</w:t>
      </w:r>
      <w:r>
        <w:rPr>
          <w:rFonts w:hint="eastAsia"/>
          <w:lang w:val="en"/>
        </w:rPr>
        <w:t>直运模式示意图</w:t>
      </w:r>
    </w:p>
    <w:p>
      <w:pPr>
        <w:pStyle w:val="57"/>
        <w:ind w:firstLine="420"/>
        <w:rPr>
          <w:lang w:val="en"/>
        </w:rPr>
      </w:pPr>
    </w:p>
    <w:p>
      <w:pPr>
        <w:pStyle w:val="66"/>
        <w:spacing w:before="0" w:beforeLines="0" w:after="0" w:afterLines="0"/>
        <w:rPr>
          <w:rFonts w:ascii="宋体" w:eastAsia="宋体"/>
        </w:rPr>
      </w:pPr>
      <w:r>
        <w:rPr>
          <w:rFonts w:hint="eastAsia" w:ascii="宋体" w:eastAsia="宋体"/>
        </w:rPr>
        <w:t>对位于道路狭窄的收集点位，收运单位可先将各厨余垃圾收集点的厨余垃圾收集容器集中送至厨余垃圾集散点，再由大型运输车集中运送至末端处理设施，也可通过中间转运站暂存后，再由大型运输车直接运至末端处理设施。集散点转运模式示意图见图3。</w:t>
      </w:r>
    </w:p>
    <w:p>
      <w:pPr>
        <w:pStyle w:val="57"/>
        <w:ind w:firstLine="420"/>
      </w:pPr>
    </w:p>
    <w:p>
      <w:pPr>
        <w:pStyle w:val="57"/>
        <w:ind w:firstLine="420"/>
      </w:pPr>
      <w:r>
        <mc:AlternateContent>
          <mc:Choice Requires="wpg">
            <w:drawing>
              <wp:anchor distT="0" distB="0" distL="114300" distR="114300" simplePos="0" relativeHeight="251663360" behindDoc="0" locked="0" layoutInCell="1" allowOverlap="1">
                <wp:simplePos x="0" y="0"/>
                <wp:positionH relativeFrom="column">
                  <wp:posOffset>320675</wp:posOffset>
                </wp:positionH>
                <wp:positionV relativeFrom="paragraph">
                  <wp:posOffset>62230</wp:posOffset>
                </wp:positionV>
                <wp:extent cx="5060950" cy="1122045"/>
                <wp:effectExtent l="0" t="0" r="0" b="2540"/>
                <wp:wrapNone/>
                <wp:docPr id="3" name="组合 10"/>
                <wp:cNvGraphicFramePr/>
                <a:graphic xmlns:a="http://schemas.openxmlformats.org/drawingml/2006/main">
                  <a:graphicData uri="http://schemas.microsoft.com/office/word/2010/wordprocessingGroup">
                    <wpg:wgp>
                      <wpg:cNvGrpSpPr/>
                      <wpg:grpSpPr>
                        <a:xfrm>
                          <a:off x="0" y="0"/>
                          <a:ext cx="5060722" cy="1121886"/>
                          <a:chOff x="0" y="0"/>
                          <a:chExt cx="7858" cy="1742"/>
                        </a:xfrm>
                      </wpg:grpSpPr>
                      <wpg:grpSp>
                        <wpg:cNvPr id="6" name="组合 6"/>
                        <wpg:cNvGrpSpPr/>
                        <wpg:grpSpPr>
                          <a:xfrm>
                            <a:off x="0" y="0"/>
                            <a:ext cx="7858" cy="678"/>
                            <a:chOff x="0" y="0"/>
                            <a:chExt cx="7858" cy="678"/>
                          </a:xfrm>
                        </wpg:grpSpPr>
                        <pic:pic xmlns:pic="http://schemas.openxmlformats.org/drawingml/2006/picture">
                          <pic:nvPicPr>
                            <pic:cNvPr id="7" name="图片 7"/>
                            <pic:cNvPicPr>
                              <a:picLocks noChangeAspect="1"/>
                            </pic:cNvPicPr>
                          </pic:nvPicPr>
                          <pic:blipFill>
                            <a:blip r:embed="rId17"/>
                            <a:stretch>
                              <a:fillRect/>
                            </a:stretch>
                          </pic:blipFill>
                          <pic:spPr>
                            <a:xfrm>
                              <a:off x="0" y="89"/>
                              <a:ext cx="1910" cy="548"/>
                            </a:xfrm>
                            <a:prstGeom prst="rect">
                              <a:avLst/>
                            </a:prstGeom>
                          </pic:spPr>
                        </pic:pic>
                        <wps:wsp>
                          <wps:cNvPr id="8" name="文本框 5"/>
                          <wps:cNvSpPr txBox="1"/>
                          <wps:spPr>
                            <a:xfrm>
                              <a:off x="276" y="195"/>
                              <a:ext cx="1567" cy="347"/>
                            </a:xfrm>
                            <a:prstGeom prst="rect">
                              <a:avLst/>
                            </a:prstGeom>
                            <a:noFill/>
                          </wps:spPr>
                          <wps:txbx>
                            <w:txbxContent>
                              <w:p>
                                <w:pPr>
                                  <w:pStyle w:val="25"/>
                                  <w:spacing w:before="0" w:beforeAutospacing="0" w:after="0" w:afterAutospacing="0"/>
                                </w:pPr>
                                <w:r>
                                  <w:rPr>
                                    <w:rFonts w:hint="eastAsia" w:cs="Times New Roman"/>
                                    <w:color w:val="000000"/>
                                    <w:kern w:val="24"/>
                                    <w:sz w:val="15"/>
                                    <w:szCs w:val="15"/>
                                  </w:rPr>
                                  <w:t>厨余垃圾收集点</w:t>
                                </w:r>
                              </w:p>
                            </w:txbxContent>
                          </wps:txbx>
                          <wps:bodyPr wrap="square" rtlCol="0">
                            <a:noAutofit/>
                          </wps:bodyPr>
                        </wps:wsp>
                        <wps:wsp>
                          <wps:cNvPr id="9" name="文本框 6"/>
                          <wps:cNvSpPr txBox="1"/>
                          <wps:spPr>
                            <a:xfrm>
                              <a:off x="2236" y="0"/>
                              <a:ext cx="589" cy="347"/>
                            </a:xfrm>
                            <a:prstGeom prst="rect">
                              <a:avLst/>
                            </a:prstGeom>
                            <a:noFill/>
                          </wps:spPr>
                          <wps:txbx>
                            <w:txbxContent>
                              <w:p>
                                <w:pPr>
                                  <w:pStyle w:val="25"/>
                                  <w:spacing w:before="0" w:beforeAutospacing="0" w:after="0" w:afterAutospacing="0"/>
                                </w:pPr>
                                <w:r>
                                  <w:rPr>
                                    <w:rFonts w:hint="eastAsia" w:hAnsi="等线" w:cs="Times New Roman" w:eastAsiaTheme="minorEastAsia"/>
                                    <w:color w:val="000000"/>
                                    <w:kern w:val="24"/>
                                    <w:sz w:val="15"/>
                                    <w:szCs w:val="15"/>
                                  </w:rPr>
                                  <w:t>转运</w:t>
                                </w:r>
                              </w:p>
                            </w:txbxContent>
                          </wps:txbx>
                          <wps:bodyPr wrap="square" rtlCol="0">
                            <a:noAutofit/>
                          </wps:bodyPr>
                        </wps:wsp>
                        <pic:pic xmlns:pic="http://schemas.openxmlformats.org/drawingml/2006/picture">
                          <pic:nvPicPr>
                            <pic:cNvPr id="10" name="图片 10"/>
                            <pic:cNvPicPr>
                              <a:picLocks noChangeAspect="1"/>
                            </pic:cNvPicPr>
                          </pic:nvPicPr>
                          <pic:blipFill>
                            <a:blip r:embed="rId17"/>
                            <a:stretch>
                              <a:fillRect/>
                            </a:stretch>
                          </pic:blipFill>
                          <pic:spPr>
                            <a:xfrm>
                              <a:off x="3241" y="130"/>
                              <a:ext cx="1330" cy="548"/>
                            </a:xfrm>
                            <a:prstGeom prst="rect">
                              <a:avLst/>
                            </a:prstGeom>
                          </pic:spPr>
                        </pic:pic>
                        <wps:wsp>
                          <wps:cNvPr id="11" name="文本框 20"/>
                          <wps:cNvSpPr txBox="1"/>
                          <wps:spPr>
                            <a:xfrm>
                              <a:off x="3225" y="236"/>
                              <a:ext cx="1649" cy="347"/>
                            </a:xfrm>
                            <a:prstGeom prst="rect">
                              <a:avLst/>
                            </a:prstGeom>
                            <a:noFill/>
                          </wps:spPr>
                          <wps:txbx>
                            <w:txbxContent>
                              <w:p>
                                <w:pPr>
                                  <w:pStyle w:val="25"/>
                                  <w:spacing w:before="0" w:beforeAutospacing="0" w:after="0" w:afterAutospacing="0"/>
                                </w:pPr>
                                <w:r>
                                  <w:rPr>
                                    <w:rFonts w:hint="eastAsia" w:cs="Times New Roman"/>
                                    <w:color w:val="000000"/>
                                    <w:kern w:val="24"/>
                                    <w:sz w:val="15"/>
                                    <w:szCs w:val="15"/>
                                  </w:rPr>
                                  <w:t>厨余垃圾集散点</w:t>
                                </w:r>
                              </w:p>
                            </w:txbxContent>
                          </wps:txbx>
                          <wps:bodyPr wrap="square" rtlCol="0">
                            <a:noAutofit/>
                          </wps:bodyPr>
                        </wps:wsp>
                        <wps:wsp>
                          <wps:cNvPr id="12" name="文本框 21"/>
                          <wps:cNvSpPr txBox="1"/>
                          <wps:spPr>
                            <a:xfrm>
                              <a:off x="5038" y="0"/>
                              <a:ext cx="739" cy="347"/>
                            </a:xfrm>
                            <a:prstGeom prst="rect">
                              <a:avLst/>
                            </a:prstGeom>
                            <a:noFill/>
                          </wps:spPr>
                          <wps:txbx>
                            <w:txbxContent>
                              <w:p>
                                <w:pPr>
                                  <w:pStyle w:val="25"/>
                                  <w:spacing w:before="0" w:beforeAutospacing="0" w:after="0" w:afterAutospacing="0"/>
                                </w:pPr>
                                <w:r>
                                  <w:rPr>
                                    <w:rFonts w:hint="eastAsia" w:hAnsi="等线" w:cs="Times New Roman" w:eastAsiaTheme="minorEastAsia"/>
                                    <w:color w:val="000000"/>
                                    <w:kern w:val="24"/>
                                    <w:sz w:val="15"/>
                                    <w:szCs w:val="15"/>
                                  </w:rPr>
                                  <w:t>收运车</w:t>
                                </w:r>
                              </w:p>
                            </w:txbxContent>
                          </wps:txbx>
                          <wps:bodyPr wrap="square" rtlCol="0">
                            <a:noAutofit/>
                          </wps:bodyPr>
                        </wps:wsp>
                        <wps:wsp>
                          <wps:cNvPr id="13" name="直接箭头连接符 13"/>
                          <wps:cNvCnPr/>
                          <wps:spPr>
                            <a:xfrm>
                              <a:off x="2056" y="347"/>
                              <a:ext cx="1024" cy="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a:off x="4772" y="409"/>
                              <a:ext cx="1260" cy="0"/>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 name="图片 16"/>
                            <pic:cNvPicPr>
                              <a:picLocks noChangeAspect="1"/>
                            </pic:cNvPicPr>
                          </pic:nvPicPr>
                          <pic:blipFill>
                            <a:blip r:embed="rId17"/>
                            <a:stretch>
                              <a:fillRect/>
                            </a:stretch>
                          </pic:blipFill>
                          <pic:spPr>
                            <a:xfrm>
                              <a:off x="6134" y="130"/>
                              <a:ext cx="1611" cy="548"/>
                            </a:xfrm>
                            <a:prstGeom prst="rect">
                              <a:avLst/>
                            </a:prstGeom>
                          </pic:spPr>
                        </pic:pic>
                        <wps:wsp>
                          <wps:cNvPr id="17" name="文本框 27"/>
                          <wps:cNvSpPr txBox="1"/>
                          <wps:spPr>
                            <a:xfrm>
                              <a:off x="6330" y="236"/>
                              <a:ext cx="1528" cy="347"/>
                            </a:xfrm>
                            <a:prstGeom prst="rect">
                              <a:avLst/>
                            </a:prstGeom>
                            <a:noFill/>
                          </wps:spPr>
                          <wps:txbx>
                            <w:txbxContent>
                              <w:p>
                                <w:pPr>
                                  <w:pStyle w:val="25"/>
                                  <w:spacing w:before="0" w:beforeAutospacing="0" w:after="0" w:afterAutospacing="0"/>
                                </w:pPr>
                                <w:r>
                                  <w:rPr>
                                    <w:rFonts w:hint="eastAsia" w:cs="Times New Roman"/>
                                    <w:color w:val="000000"/>
                                    <w:kern w:val="24"/>
                                    <w:sz w:val="15"/>
                                    <w:szCs w:val="15"/>
                                  </w:rPr>
                                  <w:t>末端处理设施</w:t>
                                </w:r>
                              </w:p>
                            </w:txbxContent>
                          </wps:txbx>
                          <wps:bodyPr wrap="square" rtlCol="0">
                            <a:noAutofit/>
                          </wps:bodyPr>
                        </wps:wsp>
                      </wpg:grpSp>
                      <pic:pic xmlns:pic="http://schemas.openxmlformats.org/drawingml/2006/picture">
                        <pic:nvPicPr>
                          <pic:cNvPr id="18" name="图片 18"/>
                          <pic:cNvPicPr>
                            <a:picLocks noChangeAspect="1"/>
                          </pic:cNvPicPr>
                        </pic:nvPicPr>
                        <pic:blipFill>
                          <a:blip r:embed="rId17"/>
                          <a:stretch>
                            <a:fillRect/>
                          </a:stretch>
                        </pic:blipFill>
                        <pic:spPr>
                          <a:xfrm>
                            <a:off x="4702" y="1194"/>
                            <a:ext cx="1330" cy="548"/>
                          </a:xfrm>
                          <a:prstGeom prst="rect">
                            <a:avLst/>
                          </a:prstGeom>
                        </pic:spPr>
                      </pic:pic>
                      <wps:wsp>
                        <wps:cNvPr id="20" name="直接连接符 20"/>
                        <wps:cNvCnPr/>
                        <wps:spPr>
                          <a:xfrm flipH="1">
                            <a:off x="3876" y="751"/>
                            <a:ext cx="7" cy="7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接箭头连接符 23"/>
                        <wps:cNvCnPr/>
                        <wps:spPr>
                          <a:xfrm flipV="1">
                            <a:off x="3869" y="1464"/>
                            <a:ext cx="735" cy="7"/>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g:grpSp>
                        <wpg:cNvPr id="24" name="组合 24"/>
                        <wpg:cNvGrpSpPr/>
                        <wpg:grpSpPr>
                          <a:xfrm rot="16200000">
                            <a:off x="6228" y="653"/>
                            <a:ext cx="743" cy="916"/>
                            <a:chOff x="6228" y="653"/>
                            <a:chExt cx="743" cy="916"/>
                          </a:xfrm>
                        </wpg:grpSpPr>
                        <wps:wsp>
                          <wps:cNvPr id="25" name="直接连接符 25"/>
                          <wps:cNvCnPr/>
                          <wps:spPr>
                            <a:xfrm flipH="1">
                              <a:off x="6228" y="653"/>
                              <a:ext cx="3" cy="9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接箭头连接符 26"/>
                          <wps:cNvCnPr/>
                          <wps:spPr>
                            <a:xfrm flipV="1">
                              <a:off x="6236" y="1551"/>
                              <a:ext cx="735" cy="7"/>
                            </a:xfrm>
                            <a:prstGeom prst="straightConnector1">
                              <a:avLst/>
                            </a:prstGeom>
                            <a:ln w="12700" cmpd="sng">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组合 10" o:spid="_x0000_s1026" o:spt="203" style="position:absolute;left:0pt;margin-left:25.25pt;margin-top:4.9pt;height:88.35pt;width:398.5pt;z-index:251663360;mso-width-relative:page;mso-height-relative:page;" coordsize="7858,1742" o:gfxdata="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">
                <o:lock v:ext="edit" aspectratio="f"/>
                <v:group id="_x0000_s1026" o:spid="_x0000_s1026" o:spt="203" style="position:absolute;left:0;top:0;height:678;width:7858;" coordsize="7858,67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75" type="#_x0000_t75" style="position:absolute;left:0;top:89;height:548;width:1910;" filled="f" o:preferrelative="t" stroked="f" coordsize="21600,21600" o:gfxdata="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hLAL4A&#10;AADa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5" o:spid="_x0000_s1026" o:spt="202" type="#_x0000_t202" style="position:absolute;left:276;top:195;height:347;width:1567;" filled="f" stroked="f" coordsize="21600,21600" o:gfxdata="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lBQkbgAAADa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5"/>
                            <w:spacing w:before="0" w:beforeAutospacing="0" w:after="0" w:afterAutospacing="0"/>
                          </w:pPr>
                          <w:r>
                            <w:rPr>
                              <w:rFonts w:hint="eastAsia" w:cs="Times New Roman"/>
                              <w:color w:val="000000"/>
                              <w:kern w:val="24"/>
                              <w:sz w:val="15"/>
                              <w:szCs w:val="15"/>
                            </w:rPr>
                            <w:t>厨余垃圾收集点</w:t>
                          </w:r>
                        </w:p>
                      </w:txbxContent>
                    </v:textbox>
                  </v:shape>
                  <v:shape id="文本框 6" o:spid="_x0000_s1026" o:spt="202" type="#_x0000_t202" style="position:absolute;left:2236;top:0;height:347;width:589;" filled="f" stroked="f" coordsize="21600,21600" o:gfxdata="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9Qq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25"/>
                            <w:spacing w:before="0" w:beforeAutospacing="0" w:after="0" w:afterAutospacing="0"/>
                          </w:pPr>
                          <w:r>
                            <w:rPr>
                              <w:rFonts w:hint="eastAsia" w:hAnsi="等线" w:cs="Times New Roman" w:eastAsiaTheme="minorEastAsia"/>
                              <w:color w:val="000000"/>
                              <w:kern w:val="24"/>
                              <w:sz w:val="15"/>
                              <w:szCs w:val="15"/>
                            </w:rPr>
                            <w:t>转运</w:t>
                          </w:r>
                        </w:p>
                      </w:txbxContent>
                    </v:textbox>
                  </v:shape>
                  <v:shape id="_x0000_s1026" o:spid="_x0000_s1026" o:spt="75" type="#_x0000_t75" style="position:absolute;left:3241;top:130;height:548;width:1330;" filled="f" o:preferrelative="t" stroked="f" coordsize="21600,21600" o:gfxdata="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22mO/&#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文本框 20" o:spid="_x0000_s1026" o:spt="202" type="#_x0000_t202" style="position:absolute;left:3225;top:236;height:347;width:1649;"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25"/>
                            <w:spacing w:before="0" w:beforeAutospacing="0" w:after="0" w:afterAutospacing="0"/>
                          </w:pPr>
                          <w:r>
                            <w:rPr>
                              <w:rFonts w:hint="eastAsia" w:cs="Times New Roman"/>
                              <w:color w:val="000000"/>
                              <w:kern w:val="24"/>
                              <w:sz w:val="15"/>
                              <w:szCs w:val="15"/>
                            </w:rPr>
                            <w:t>厨余垃圾集散点</w:t>
                          </w:r>
                        </w:p>
                      </w:txbxContent>
                    </v:textbox>
                  </v:shape>
                  <v:shape id="文本框 21" o:spid="_x0000_s1026" o:spt="202" type="#_x0000_t202" style="position:absolute;left:5038;top:0;height:347;width:739;"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25"/>
                            <w:spacing w:before="0" w:beforeAutospacing="0" w:after="0" w:afterAutospacing="0"/>
                          </w:pPr>
                          <w:r>
                            <w:rPr>
                              <w:rFonts w:hint="eastAsia" w:hAnsi="等线" w:cs="Times New Roman" w:eastAsiaTheme="minorEastAsia"/>
                              <w:color w:val="000000"/>
                              <w:kern w:val="24"/>
                              <w:sz w:val="15"/>
                              <w:szCs w:val="15"/>
                            </w:rPr>
                            <w:t>收运车</w:t>
                          </w:r>
                        </w:p>
                      </w:txbxContent>
                    </v:textbox>
                  </v:shape>
                  <v:shape id="_x0000_s1026" o:spid="_x0000_s1026" o:spt="32" type="#_x0000_t32" style="position:absolute;left:2056;top:347;height:0;width:1024;" filled="f" stroked="t" coordsize="21600,21600" o:gfxdata="UEsDBAoAAAAAAIdO4kAAAAAAAAAAAAAAAAAEAAAAZHJzL1BLAwQUAAAACACHTuJAZD3CL7gAAADb&#10;AAAADwAAAGRycy9kb3ducmV2LnhtbEVPS4vCMBC+L/gfwgje1lSF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3CL7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_x0000_s1026" o:spid="_x0000_s1026" o:spt="32" type="#_x0000_t32" style="position:absolute;left:4772;top:409;height:0;width:1260;" filled="f" stroked="t" coordsize="21600,21600" o:gfxdata="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j/wLgAAADbAAAA&#10;DwAAAAAAAAABACAAAAAiAAAAZHJzL2Rvd25yZXYueG1sUEsBAhQAFAAAAAgAh07iQDMvBZ47AAAA&#10;OQAAABAAAAAAAAAAAQAgAAAABwEAAGRycy9zaGFwZXhtbC54bWxQSwUGAAAAAAYABgBbAQAAsQMA&#10;AAAA&#10;">
                    <v:fill on="f" focussize="0,0"/>
                    <v:stroke weight="1pt" color="#000000 [3213]" miterlimit="8" joinstyle="miter" endarrow="open"/>
                    <v:imagedata o:title=""/>
                    <o:lock v:ext="edit" aspectratio="f"/>
                  </v:shape>
                  <v:shape id="_x0000_s1026" o:spid="_x0000_s1026" o:spt="75" type="#_x0000_t75" style="position:absolute;left:6134;top:130;height:548;width:1611;" filled="f" o:preferrelative="t" stroked="f" coordsize="21600,21600" o:gfxdata="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T54y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7" o:spid="_x0000_s1026" o:spt="202" type="#_x0000_t202" style="position:absolute;left:6330;top:236;height:347;width:1528;"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25"/>
                            <w:spacing w:before="0" w:beforeAutospacing="0" w:after="0" w:afterAutospacing="0"/>
                          </w:pPr>
                          <w:r>
                            <w:rPr>
                              <w:rFonts w:hint="eastAsia" w:cs="Times New Roman"/>
                              <w:color w:val="000000"/>
                              <w:kern w:val="24"/>
                              <w:sz w:val="15"/>
                              <w:szCs w:val="15"/>
                            </w:rPr>
                            <w:t>末端处理设施</w:t>
                          </w:r>
                        </w:p>
                      </w:txbxContent>
                    </v:textbox>
                  </v:shape>
                </v:group>
                <v:shape id="_x0000_s1026" o:spid="_x0000_s1026" o:spt="75" type="#_x0000_t75" style="position:absolute;left:4702;top:1194;height:548;width:1330;" filled="f" o:preferrelative="t" stroked="f" coordsize="21600,21600" o:gfxdata="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A1mW/&#10;AAAA2wAAAA8AAAAAAAAAAQAgAAAAIgAAAGRycy9kb3ducmV2LnhtbFBLAQIUABQAAAAIAIdO4kAz&#10;LwWeOwAAADkAAAAQAAAAAAAAAAEAIAAAAA4BAABkcnMvc2hhcGV4bWwueG1sUEsFBgAAAAAGAAYA&#10;WwEAALgDAAAAAA==&#10;">
                  <v:fill on="f" focussize="0,0"/>
                  <v:stroke on="f"/>
                  <v:imagedata r:id="rId17" o:title=""/>
                  <o:lock v:ext="edit" aspectratio="t"/>
                </v:shape>
                <v:line id="_x0000_s1026" o:spid="_x0000_s1026" o:spt="20" style="position:absolute;left:3876;top:751;flip:x;height:720;width:7;" filled="f" stroked="t" coordsize="21600,21600" o:gfxdata="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wB1/dtwAAANsAAAAP&#10;AAAAAAAAAAEAIAAAACIAAABkcnMvZG93bnJldi54bWxQSwECFAAUAAAACACHTuJAMy8FnjsAAAA5&#10;AAAAEAAAAAAAAAABACAAAAAGAQAAZHJzL3NoYXBleG1sLnhtbFBLBQYAAAAABgAGAFsBAACwAwAA&#10;AAA=&#10;">
                  <v:fill on="f" focussize="0,0"/>
                  <v:stroke weight="1pt" color="#000000 [3213]" miterlimit="8" joinstyle="miter"/>
                  <v:imagedata o:title=""/>
                  <o:lock v:ext="edit" aspectratio="f"/>
                </v:line>
                <v:shape id="_x0000_s1026" o:spid="_x0000_s1026" o:spt="32" type="#_x0000_t32" style="position:absolute;left:3869;top:1464;flip:y;height:7;width:735;" filled="f" stroked="t" coordsize="21600,21600" o:gfxdata="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yH32/&#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group id="_x0000_s1026" o:spid="_x0000_s1026" o:spt="203" style="position:absolute;left:6228;top:653;height:916;width:743;rotation:-5898240f;" coordorigin="6228,653" coordsize="743,916" o:gfxdata="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d6SYe+AAAA2wAAAA8AAAAAAAAAAQAgAAAAIgAAAGRycy9kb3ducmV2Lnht&#10;bFBLAQIUABQAAAAIAIdO4kAzLwWeOwAAADkAAAAVAAAAAAAAAAEAIAAAAA0BAABkcnMvZ3JvdXBz&#10;aGFwZXhtbC54bWxQSwUGAAAAAAYABgBgAQAAygMAAAAA&#10;">
                  <o:lock v:ext="edit" aspectratio="f"/>
                  <v:line id="_x0000_s1026" o:spid="_x0000_s1026" o:spt="20" style="position:absolute;left:6228;top:653;flip:x;height:916;width:3;" filled="f" stroked="t" coordsize="21600,21600" o:gfxdata="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cPxFvQAA&#10;ANs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_x0000_s1026" o:spid="_x0000_s1026" o:spt="32" type="#_x0000_t32" style="position:absolute;left:6236;top:1551;flip:y;height:7;width:735;" filled="f" stroked="t" coordsize="21600,21600" o:gfxdata="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FvOW/&#10;AAAA2wAAAA8AAAAAAAAAAQAgAAAAIgAAAGRycy9kb3ducmV2LnhtbFBLAQIUABQAAAAIAIdO4kAz&#10;LwWeOwAAADkAAAAQAAAAAAAAAAEAIAAAAA4BAABkcnMvc2hhcGV4bWwueG1sUEsFBgAAAAAGAAYA&#10;WwEAALgDAAAAAA==&#10;">
                    <v:fill on="f" focussize="0,0"/>
                    <v:stroke weight="1pt" color="#000000 [3213]" miterlimit="8" joinstyle="miter" endarrow="open"/>
                    <v:imagedata o:title=""/>
                    <o:lock v:ext="edit" aspectratio="f"/>
                  </v:shape>
                </v:group>
              </v:group>
            </w:pict>
          </mc:Fallback>
        </mc:AlternateContent>
      </w:r>
    </w:p>
    <w:p>
      <w:pPr>
        <w:pStyle w:val="57"/>
        <w:ind w:firstLine="420"/>
      </w:pPr>
    </w:p>
    <w:p>
      <w:pPr>
        <w:pStyle w:val="57"/>
        <w:ind w:firstLine="420"/>
      </w:pPr>
    </w:p>
    <w:p>
      <w:pPr>
        <w:pStyle w:val="57"/>
        <w:ind w:firstLine="420"/>
      </w:pPr>
    </w:p>
    <w:p>
      <w:pPr>
        <w:pStyle w:val="57"/>
        <w:ind w:firstLine="420"/>
      </w:pPr>
    </w:p>
    <w:p>
      <w:pPr>
        <w:pStyle w:val="57"/>
        <w:ind w:firstLine="420"/>
      </w:pPr>
      <w:r>
        <mc:AlternateContent>
          <mc:Choice Requires="wps">
            <w:drawing>
              <wp:anchor distT="0" distB="0" distL="114300" distR="114300" simplePos="0" relativeHeight="251664384" behindDoc="0" locked="0" layoutInCell="1" allowOverlap="1">
                <wp:simplePos x="0" y="0"/>
                <wp:positionH relativeFrom="column">
                  <wp:posOffset>3349625</wp:posOffset>
                </wp:positionH>
                <wp:positionV relativeFrom="paragraph">
                  <wp:posOffset>24130</wp:posOffset>
                </wp:positionV>
                <wp:extent cx="1017270" cy="241300"/>
                <wp:effectExtent l="0" t="0" r="0" b="0"/>
                <wp:wrapNone/>
                <wp:docPr id="27" name="文本框 37"/>
                <wp:cNvGraphicFramePr/>
                <a:graphic xmlns:a="http://schemas.openxmlformats.org/drawingml/2006/main">
                  <a:graphicData uri="http://schemas.microsoft.com/office/word/2010/wordprocessingShape">
                    <wps:wsp>
                      <wps:cNvSpPr txBox="1"/>
                      <wps:spPr>
                        <a:xfrm>
                          <a:off x="0" y="0"/>
                          <a:ext cx="1017055" cy="241402"/>
                        </a:xfrm>
                        <a:prstGeom prst="rect">
                          <a:avLst/>
                        </a:prstGeom>
                        <a:noFill/>
                      </wps:spPr>
                      <wps:txb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厨余垃圾转运站</w:t>
                            </w:r>
                          </w:p>
                        </w:txbxContent>
                      </wps:txbx>
                      <wps:bodyPr wrap="square" rtlCol="0">
                        <a:noAutofit/>
                      </wps:bodyPr>
                    </wps:wsp>
                  </a:graphicData>
                </a:graphic>
              </wp:anchor>
            </w:drawing>
          </mc:Choice>
          <mc:Fallback>
            <w:pict>
              <v:shape id="文本框 37" o:spid="_x0000_s1026" o:spt="202" type="#_x0000_t202" style="position:absolute;left:0pt;margin-left:263.75pt;margin-top:1.9pt;height:19pt;width:80.1pt;z-index:251664384;mso-width-relative:page;mso-height-relative:page;" filled="f" stroked="f" coordsize="21600,21600" o:gfxdata="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YQAHXAAAACAEAAA8AAAAAAAAAAQAgAAAAIgAAAGRycy9kb3ducmV2LnhtbFBLAQIU&#10;ABQAAAAIAIdO4kB60kAcuwEAAF8DAAAOAAAAAAAAAAEAIAAAACYBAABkcnMvZTJvRG9jLnhtbFBL&#10;BQYAAAAABgAGAFkBAABTBQAAAAA=&#10;">
                <v:fill on="f" focussize="0,0"/>
                <v:stroke on="f"/>
                <v:imagedata o:title=""/>
                <o:lock v:ext="edit" aspectratio="f"/>
                <v:textbox>
                  <w:txbxContent>
                    <w:p>
                      <w:pPr>
                        <w:pStyle w:val="25"/>
                        <w:spacing w:before="0" w:beforeAutospacing="0" w:after="0" w:afterAutospacing="0"/>
                        <w:rPr>
                          <w:sz w:val="15"/>
                          <w:szCs w:val="15"/>
                        </w:rPr>
                      </w:pPr>
                      <w:r>
                        <w:rPr>
                          <w:rFonts w:hint="eastAsia" w:cstheme="minorBidi"/>
                          <w:color w:val="000000" w:themeColor="text1"/>
                          <w:kern w:val="24"/>
                          <w:sz w:val="15"/>
                          <w:szCs w:val="15"/>
                          <w14:textFill>
                            <w14:solidFill>
                              <w14:schemeClr w14:val="tx1"/>
                            </w14:solidFill>
                          </w14:textFill>
                        </w:rPr>
                        <w:t>厨余垃圾转运站</w:t>
                      </w:r>
                    </w:p>
                  </w:txbxContent>
                </v:textbox>
              </v:shape>
            </w:pict>
          </mc:Fallback>
        </mc:AlternateContent>
      </w:r>
    </w:p>
    <w:p>
      <w:pPr>
        <w:pStyle w:val="57"/>
        <w:ind w:firstLine="420"/>
      </w:pPr>
    </w:p>
    <w:p>
      <w:pPr>
        <w:pStyle w:val="57"/>
        <w:ind w:firstLine="420"/>
      </w:pPr>
    </w:p>
    <w:p>
      <w:pPr>
        <w:pStyle w:val="115"/>
        <w:spacing w:before="120" w:after="120"/>
        <w:rPr>
          <w:lang w:val="en"/>
        </w:rPr>
      </w:pPr>
      <w:r>
        <w:rPr>
          <w:rFonts w:hint="eastAsia"/>
          <w:lang w:val="en"/>
        </w:rPr>
        <w:t>集散点转运模式示意图</w:t>
      </w:r>
    </w:p>
    <w:p>
      <w:pPr>
        <w:pStyle w:val="105"/>
        <w:spacing w:before="240" w:after="240"/>
        <w:rPr>
          <w:rFonts w:hAnsi="黑体"/>
          <w:bCs/>
          <w:szCs w:val="21"/>
          <w:lang w:val="en"/>
        </w:rPr>
      </w:pPr>
      <w:bookmarkStart w:id="77" w:name="_Toc110444781"/>
      <w:bookmarkStart w:id="78" w:name="_Toc110445130"/>
      <w:bookmarkStart w:id="79" w:name="_Toc110444985"/>
      <w:r>
        <w:rPr>
          <w:rFonts w:hint="eastAsia" w:hAnsi="黑体"/>
          <w:bCs/>
          <w:szCs w:val="21"/>
          <w:lang w:val="en"/>
        </w:rPr>
        <w:t>厨余垃圾转运站暂存</w:t>
      </w:r>
      <w:bookmarkEnd w:id="77"/>
      <w:bookmarkEnd w:id="78"/>
      <w:bookmarkEnd w:id="79"/>
    </w:p>
    <w:p>
      <w:pPr>
        <w:pStyle w:val="106"/>
        <w:spacing w:before="120" w:after="120"/>
        <w:ind w:left="0"/>
        <w:rPr>
          <w:rFonts w:ascii="宋体" w:eastAsia="宋体"/>
        </w:rPr>
      </w:pPr>
      <w:bookmarkStart w:id="80" w:name="_Toc110444986"/>
      <w:bookmarkStart w:id="81" w:name="_Toc110444782"/>
      <w:r>
        <w:rPr>
          <w:rFonts w:hint="eastAsia" w:ascii="宋体" w:eastAsia="宋体"/>
        </w:rPr>
        <w:t>不满足垃圾分类需求的原有厨余垃圾转运站，宜改建、扩建为规范的厨余垃圾转运站。改建、扩建厨余垃圾转运站应充分利用原有厨余垃圾转运站的建（构）筑物及配套设施。转运站的建设应符合CJJ 117、CJJ/T 47、GB 50352等相关规定。</w:t>
      </w:r>
      <w:bookmarkEnd w:id="80"/>
      <w:bookmarkEnd w:id="81"/>
    </w:p>
    <w:p>
      <w:pPr>
        <w:pStyle w:val="106"/>
        <w:spacing w:before="120" w:after="120"/>
        <w:ind w:left="0"/>
      </w:pPr>
      <w:bookmarkStart w:id="82" w:name="_Toc110444988"/>
      <w:bookmarkStart w:id="83" w:name="_Toc110444784"/>
      <w:r>
        <w:t>厨余垃圾转运站的设施设置</w:t>
      </w:r>
      <w:bookmarkEnd w:id="82"/>
      <w:bookmarkEnd w:id="83"/>
    </w:p>
    <w:p>
      <w:pPr>
        <w:pStyle w:val="66"/>
        <w:spacing w:before="0" w:beforeLines="0" w:after="0" w:afterLines="0"/>
        <w:rPr>
          <w:rFonts w:ascii="宋体" w:eastAsia="宋体"/>
        </w:rPr>
      </w:pPr>
      <w:r>
        <w:rPr>
          <w:rFonts w:hint="eastAsia" w:ascii="宋体" w:eastAsia="宋体"/>
        </w:rPr>
        <w:t>厨余垃圾转运站应根据实际情况配置必要的通讯设施、配备监控设备；转运站现场应设置管理信息,公示权属责任单位、责任人、厨余垃圾去向、作业形式、作业单位、作业时间和联系电话等服务内容。</w:t>
      </w:r>
    </w:p>
    <w:p>
      <w:pPr>
        <w:pStyle w:val="66"/>
        <w:spacing w:before="0" w:beforeLines="0" w:after="0" w:afterLines="0"/>
        <w:rPr>
          <w:rFonts w:ascii="宋体" w:eastAsia="宋体"/>
        </w:rPr>
      </w:pPr>
      <w:r>
        <w:rPr>
          <w:rFonts w:hint="eastAsia" w:ascii="宋体" w:eastAsia="宋体"/>
        </w:rPr>
        <w:t>厨余垃圾转运站宜设置消毒、灭蚊灭蝇、防鼠灭鼠等装置。</w:t>
      </w:r>
    </w:p>
    <w:p>
      <w:pPr>
        <w:pStyle w:val="66"/>
        <w:spacing w:before="0" w:beforeLines="0" w:after="0" w:afterLines="0"/>
        <w:rPr>
          <w:rFonts w:ascii="宋体" w:eastAsia="宋体"/>
        </w:rPr>
      </w:pPr>
      <w:r>
        <w:rPr>
          <w:rFonts w:hint="eastAsia" w:ascii="宋体" w:eastAsia="宋体"/>
        </w:rPr>
        <w:t>厨余垃圾转运站机械设备、配套车辆以及厨余垃圾收集容器、设施等应综合考虑日有效运行时间和高峰期厨余垃圾量进行配置，机械设备、配套车辆、厨余垃圾收集容器等设置应符合下列要求：</w:t>
      </w:r>
    </w:p>
    <w:p>
      <w:pPr>
        <w:pStyle w:val="200"/>
        <w:numPr>
          <w:ilvl w:val="0"/>
          <w:numId w:val="0"/>
        </w:numPr>
        <w:ind w:left="425"/>
        <w:jc w:val="both"/>
        <w:rPr>
          <w:vanish w:val="0"/>
        </w:rPr>
      </w:pPr>
    </w:p>
    <w:p>
      <w:pPr>
        <w:pStyle w:val="175"/>
        <w:numPr>
          <w:ilvl w:val="0"/>
          <w:numId w:val="34"/>
        </w:numPr>
      </w:pPr>
      <w:r>
        <w:rPr>
          <w:rFonts w:hint="eastAsia"/>
        </w:rPr>
        <w:t>机械设备的旋转件、启闭装置等处应设置防护罩或警示安全标志</w:t>
      </w:r>
      <w:r>
        <w:rPr>
          <w:rFonts w:hint="eastAsia"/>
          <w:lang w:eastAsia="zh-CN"/>
        </w:rPr>
        <w:t>。</w:t>
      </w:r>
    </w:p>
    <w:p>
      <w:pPr>
        <w:pStyle w:val="175"/>
      </w:pPr>
      <w:r>
        <w:rPr>
          <w:rFonts w:hint="eastAsia"/>
        </w:rPr>
        <w:t>填装、起吊、倒车等工序的相关设施、设备上应设置警示标志、警报装置</w:t>
      </w:r>
      <w:r>
        <w:rPr>
          <w:rFonts w:hint="eastAsia"/>
          <w:lang w:eastAsia="zh-CN"/>
        </w:rPr>
        <w:t>。</w:t>
      </w:r>
    </w:p>
    <w:p>
      <w:pPr>
        <w:pStyle w:val="175"/>
      </w:pPr>
      <w:r>
        <w:rPr>
          <w:rFonts w:hint="eastAsia"/>
        </w:rPr>
        <w:t>配套的厨余垃圾转运车辆应有良好的整体密封性能</w:t>
      </w:r>
      <w:r>
        <w:rPr>
          <w:rFonts w:hint="eastAsia"/>
          <w:lang w:eastAsia="zh-CN"/>
        </w:rPr>
        <w:t>。</w:t>
      </w:r>
    </w:p>
    <w:p>
      <w:pPr>
        <w:pStyle w:val="175"/>
      </w:pPr>
      <w:r>
        <w:rPr>
          <w:rFonts w:hint="eastAsia"/>
        </w:rPr>
        <w:t>厨余垃圾收集容器数量，应根据实际转运量及频次合理配备</w:t>
      </w:r>
      <w:r>
        <w:rPr>
          <w:rFonts w:hint="eastAsia"/>
          <w:lang w:eastAsia="zh-CN"/>
        </w:rPr>
        <w:t>。</w:t>
      </w:r>
    </w:p>
    <w:p>
      <w:pPr>
        <w:pStyle w:val="175"/>
      </w:pPr>
      <w:r>
        <w:rPr>
          <w:rFonts w:hint="eastAsia"/>
        </w:rPr>
        <w:t>垃圾储存容器应具有良好的防渗和防腐性能，并设置渗滤液收集设施</w:t>
      </w:r>
      <w:r>
        <w:rPr>
          <w:rFonts w:hint="eastAsia"/>
          <w:lang w:eastAsia="zh-CN"/>
        </w:rPr>
        <w:t>。</w:t>
      </w:r>
    </w:p>
    <w:p>
      <w:pPr>
        <w:pStyle w:val="175"/>
      </w:pPr>
      <w:r>
        <w:rPr>
          <w:rFonts w:hint="eastAsia"/>
        </w:rPr>
        <w:t>垃圾转运车间应安装便于启闭的出口（如卷帘闸门等），并设置可关闭的通风口。</w:t>
      </w:r>
    </w:p>
    <w:p>
      <w:pPr>
        <w:pStyle w:val="106"/>
        <w:spacing w:before="120" w:after="120"/>
        <w:ind w:left="0"/>
      </w:pPr>
      <w:bookmarkStart w:id="84" w:name="_Toc110444785"/>
      <w:bookmarkStart w:id="85" w:name="_Toc110444989"/>
      <w:r>
        <w:rPr>
          <w:rFonts w:hint="eastAsia"/>
        </w:rPr>
        <w:t>厨余垃圾转运站的作业</w:t>
      </w:r>
      <w:bookmarkEnd w:id="84"/>
      <w:bookmarkEnd w:id="85"/>
      <w:r>
        <w:rPr>
          <w:rFonts w:hint="eastAsia"/>
        </w:rPr>
        <w:t>要求</w:t>
      </w:r>
    </w:p>
    <w:p>
      <w:pPr>
        <w:pStyle w:val="66"/>
        <w:spacing w:before="0" w:beforeLines="0" w:after="0" w:afterLines="0"/>
        <w:rPr>
          <w:rFonts w:ascii="宋体" w:eastAsia="宋体"/>
        </w:rPr>
      </w:pPr>
      <w:r>
        <w:rPr>
          <w:rFonts w:hint="eastAsia" w:ascii="宋体" w:eastAsia="宋体"/>
        </w:rPr>
        <w:t>厨余垃圾转运站应保证工作的连续性，并考虑设备使用寿命，合理设置转运站的转运单元和厨余垃圾应急运输车辆。</w:t>
      </w:r>
    </w:p>
    <w:p>
      <w:pPr>
        <w:pStyle w:val="66"/>
        <w:spacing w:before="0" w:beforeLines="0" w:after="0" w:afterLines="0"/>
        <w:rPr>
          <w:rFonts w:ascii="宋体" w:eastAsia="宋体"/>
        </w:rPr>
      </w:pPr>
      <w:r>
        <w:rPr>
          <w:rFonts w:hint="eastAsia" w:ascii="宋体" w:eastAsia="宋体"/>
        </w:rPr>
        <w:t>转运站现场作业人员应穿戴必要的劳保用品，并符合</w:t>
      </w:r>
      <w:r>
        <w:rPr>
          <w:rFonts w:ascii="宋体" w:eastAsia="宋体"/>
        </w:rPr>
        <w:t>GB</w:t>
      </w:r>
      <w:r>
        <w:rPr>
          <w:rFonts w:hint="eastAsia" w:ascii="宋体" w:eastAsia="宋体"/>
        </w:rPr>
        <w:t xml:space="preserve"> </w:t>
      </w:r>
      <w:r>
        <w:rPr>
          <w:rFonts w:ascii="宋体" w:eastAsia="宋体"/>
        </w:rPr>
        <w:t>39800.1的要求</w:t>
      </w:r>
      <w:r>
        <w:rPr>
          <w:rFonts w:hint="eastAsia" w:ascii="宋体" w:eastAsia="宋体"/>
        </w:rPr>
        <w:t>。</w:t>
      </w:r>
    </w:p>
    <w:p>
      <w:pPr>
        <w:pStyle w:val="66"/>
        <w:spacing w:before="0" w:beforeLines="0" w:after="0" w:afterLines="0"/>
        <w:rPr>
          <w:rFonts w:ascii="宋体" w:eastAsia="宋体"/>
        </w:rPr>
      </w:pPr>
      <w:bookmarkStart w:id="86" w:name="_Toc110444786"/>
      <w:bookmarkStart w:id="87" w:name="_Toc110444990"/>
      <w:r>
        <w:rPr>
          <w:rFonts w:hint="eastAsia" w:ascii="宋体" w:eastAsia="宋体"/>
        </w:rPr>
        <w:t>厨余垃圾转运工艺应根据累计收集、运输、处理的方式及建设规模合理确定，转运工艺应满足提高机械化和自动化水平、保证安全、改善环境卫生和劳动条件、提高劳动生产效率的要求。</w:t>
      </w:r>
      <w:bookmarkEnd w:id="86"/>
      <w:bookmarkEnd w:id="87"/>
    </w:p>
    <w:p>
      <w:pPr>
        <w:pStyle w:val="106"/>
        <w:spacing w:before="120" w:after="120"/>
        <w:ind w:left="0"/>
      </w:pPr>
      <w:bookmarkStart w:id="88" w:name="_Toc110444789"/>
      <w:bookmarkStart w:id="89" w:name="_Toc110444993"/>
      <w:r>
        <w:rPr>
          <w:rFonts w:hint="eastAsia"/>
        </w:rPr>
        <w:t>厨余垃圾转运站环保要求</w:t>
      </w:r>
    </w:p>
    <w:p>
      <w:pPr>
        <w:pStyle w:val="66"/>
        <w:spacing w:before="0" w:beforeLines="0" w:after="0" w:afterLines="0"/>
        <w:rPr>
          <w:rFonts w:ascii="宋体" w:eastAsia="宋体"/>
        </w:rPr>
      </w:pPr>
      <w:r>
        <w:rPr>
          <w:rFonts w:hint="eastAsia" w:ascii="宋体" w:eastAsia="宋体"/>
        </w:rPr>
        <w:t>转运作业过程中产生的噪声控制应符合GB 3096的规定。</w:t>
      </w:r>
    </w:p>
    <w:p>
      <w:pPr>
        <w:pStyle w:val="66"/>
        <w:spacing w:before="0" w:beforeLines="0" w:after="0" w:afterLines="0"/>
        <w:rPr>
          <w:rFonts w:ascii="宋体" w:eastAsia="宋体"/>
        </w:rPr>
      </w:pPr>
      <w:r>
        <w:rPr>
          <w:rFonts w:hint="eastAsia" w:ascii="宋体" w:eastAsia="宋体"/>
        </w:rPr>
        <w:t>厨余垃圾转运站应采取除臭措施，如设置臭气处理设施等,厨余垃圾在中转作业过程尽量密闭，避免出现明显异味，除臭效果应符合GB14554的要求。强化在卸装厨余垃圾等关键位置的通风、降尘、除臭措施。</w:t>
      </w:r>
    </w:p>
    <w:p>
      <w:pPr>
        <w:pStyle w:val="166"/>
      </w:pPr>
      <w:r>
        <w:rPr>
          <w:rFonts w:hint="eastAsia"/>
        </w:rPr>
        <w:t>厨余垃圾转运站产生的浓缩液经收集后，可自行处理，也可密闭运输送到城市污水处理厂处理，或者在转运站经过预处理达到国家现行有关标准及要求后，排入城市排水管道进入城市污水处理厂处理</w:t>
      </w:r>
      <w:bookmarkEnd w:id="88"/>
      <w:bookmarkEnd w:id="89"/>
      <w:r>
        <w:rPr>
          <w:rFonts w:hint="eastAsia"/>
        </w:rPr>
        <w:t>。</w:t>
      </w:r>
    </w:p>
    <w:p>
      <w:pPr>
        <w:pStyle w:val="66"/>
        <w:spacing w:before="0" w:beforeLines="0" w:after="0" w:afterLines="0"/>
        <w:rPr>
          <w:rFonts w:ascii="宋体" w:eastAsia="宋体"/>
        </w:rPr>
      </w:pPr>
      <w:bookmarkStart w:id="90" w:name="_Toc110444992"/>
      <w:bookmarkStart w:id="91" w:name="_Toc110444788"/>
      <w:r>
        <w:rPr>
          <w:rFonts w:hint="eastAsia" w:ascii="宋体" w:eastAsia="宋体"/>
        </w:rPr>
        <w:t>餐厨垃圾、家庭厨余垃圾和其他厨余垃圾共用一个厨余垃圾转运站的，餐厨垃圾应单独暂存，不应与家庭厨余垃圾和其他厨余垃圾混合暂存。</w:t>
      </w:r>
      <w:bookmarkEnd w:id="90"/>
      <w:bookmarkEnd w:id="91"/>
    </w:p>
    <w:p>
      <w:pPr>
        <w:pStyle w:val="166"/>
        <w:sectPr>
          <w:pgSz w:w="11906" w:h="16838"/>
          <w:pgMar w:top="1928" w:right="1134" w:bottom="1134" w:left="1134" w:header="1418" w:footer="1134" w:gutter="284"/>
          <w:cols w:space="425" w:num="1"/>
          <w:formProt w:val="0"/>
          <w:docGrid w:linePitch="312" w:charSpace="0"/>
        </w:sectPr>
      </w:pPr>
      <w:r>
        <w:rPr>
          <w:rFonts w:hint="eastAsia"/>
        </w:rPr>
        <w:t>厨余垃圾转运站内的厨余垃圾分类标志应符合现行国家标准GB/T 19095的要求。</w:t>
      </w:r>
    </w:p>
    <w:bookmarkEnd w:id="26"/>
    <w:p>
      <w:pPr>
        <w:pStyle w:val="77"/>
        <w:spacing w:after="120"/>
      </w:pPr>
      <w:bookmarkStart w:id="92" w:name="BookMark5"/>
      <w:r>
        <w:br w:type="textWrapping"/>
      </w:r>
      <w:bookmarkStart w:id="93" w:name="_Toc110445131"/>
      <w:bookmarkStart w:id="94" w:name="_Toc110444790"/>
      <w:bookmarkStart w:id="95" w:name="_Toc110444994"/>
      <w:r>
        <w:rPr>
          <w:rFonts w:hint="eastAsia"/>
        </w:rPr>
        <w:t>（规范性）</w:t>
      </w:r>
      <w:r>
        <w:br w:type="textWrapping"/>
      </w:r>
      <w:r>
        <w:rPr>
          <w:rFonts w:hint="eastAsia"/>
        </w:rPr>
        <w:t>生活垃圾分类运输车辆外观标识</w:t>
      </w:r>
      <w:bookmarkEnd w:id="93"/>
      <w:bookmarkEnd w:id="94"/>
      <w:bookmarkEnd w:id="95"/>
    </w:p>
    <w:p>
      <w:pPr>
        <w:pStyle w:val="57"/>
        <w:ind w:firstLine="422"/>
      </w:pPr>
      <w:r>
        <w:rPr>
          <w:rFonts w:hint="eastAsia"/>
          <w:b/>
        </w:rPr>
        <w:t>A.1</w:t>
      </w:r>
      <w:r>
        <w:rPr>
          <w:rFonts w:hint="eastAsia"/>
        </w:rPr>
        <w:t xml:space="preserve"> 厨余垃圾运输车辆的车身外观喷涂示例。</w:t>
      </w:r>
    </w:p>
    <w:p>
      <w:pPr>
        <w:pStyle w:val="57"/>
        <w:ind w:firstLine="420"/>
      </w:pPr>
    </w:p>
    <w:p>
      <w:pPr>
        <w:pStyle w:val="57"/>
        <w:ind w:firstLine="420"/>
        <w:jc w:val="center"/>
        <w:rPr>
          <w:rFonts w:hint="eastAsia"/>
        </w:rPr>
      </w:pPr>
      <w:r>
        <w:rPr>
          <w:rFonts w:hint="eastAsia"/>
        </w:rPr>
        <w:drawing>
          <wp:inline distT="0" distB="0" distL="0" distR="0">
            <wp:extent cx="4378325" cy="5476875"/>
            <wp:effectExtent l="0" t="0" r="3175" b="0"/>
            <wp:docPr id="31" name="图片 31" descr="C:\Users\用户\Desktop\演示文稿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用户\Desktop\演示文稿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389005" cy="5489668"/>
                    </a:xfrm>
                    <a:prstGeom prst="rect">
                      <a:avLst/>
                    </a:prstGeom>
                    <a:noFill/>
                    <a:ln>
                      <a:noFill/>
                    </a:ln>
                  </pic:spPr>
                </pic:pic>
              </a:graphicData>
            </a:graphic>
          </wp:inline>
        </w:drawing>
      </w:r>
    </w:p>
    <w:p>
      <w:pPr>
        <w:pStyle w:val="57"/>
        <w:ind w:firstLine="420"/>
        <w:jc w:val="center"/>
      </w:pPr>
      <w:r>
        <w:drawing>
          <wp:inline distT="0" distB="0" distL="0" distR="0">
            <wp:extent cx="2169160" cy="36766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stretch>
                      <a:fillRect/>
                    </a:stretch>
                  </pic:blipFill>
                  <pic:spPr>
                    <a:xfrm>
                      <a:off x="0" y="0"/>
                      <a:ext cx="2169049" cy="367819"/>
                    </a:xfrm>
                    <a:prstGeom prst="rect">
                      <a:avLst/>
                    </a:prstGeom>
                  </pic:spPr>
                </pic:pic>
              </a:graphicData>
            </a:graphic>
          </wp:inline>
        </w:drawing>
      </w:r>
    </w:p>
    <w:p>
      <w:pPr>
        <w:pStyle w:val="84"/>
        <w:spacing w:before="120" w:after="120"/>
      </w:pPr>
      <w:r>
        <w:rPr>
          <w:rFonts w:hint="eastAsia"/>
        </w:rPr>
        <w:t>厨余垃圾运输车喷涂示例</w:t>
      </w:r>
    </w:p>
    <w:p>
      <w:pPr>
        <w:pStyle w:val="57"/>
        <w:ind w:firstLine="420"/>
        <w:rPr>
          <w:rFonts w:hint="eastAsia"/>
        </w:rPr>
      </w:pPr>
    </w:p>
    <w:p>
      <w:pPr>
        <w:pStyle w:val="57"/>
        <w:ind w:firstLine="420"/>
        <w:rPr>
          <w:rFonts w:hint="eastAsia"/>
        </w:rPr>
      </w:pPr>
    </w:p>
    <w:p>
      <w:pPr>
        <w:pStyle w:val="57"/>
        <w:ind w:firstLine="420"/>
        <w:rPr>
          <w:rFonts w:hint="eastAsia"/>
        </w:rPr>
      </w:pPr>
    </w:p>
    <w:p>
      <w:pPr>
        <w:pStyle w:val="57"/>
        <w:ind w:firstLine="420"/>
        <w:rPr>
          <w:rFonts w:hint="eastAsia"/>
        </w:rPr>
      </w:pPr>
    </w:p>
    <w:p>
      <w:pPr>
        <w:pStyle w:val="57"/>
        <w:ind w:firstLine="420"/>
        <w:rPr>
          <w:rFonts w:hint="eastAsia"/>
        </w:rPr>
      </w:pPr>
    </w:p>
    <w:p>
      <w:pPr>
        <w:pStyle w:val="57"/>
        <w:ind w:firstLine="420"/>
      </w:pPr>
    </w:p>
    <w:p>
      <w:pPr>
        <w:pStyle w:val="57"/>
        <w:ind w:firstLine="422"/>
      </w:pPr>
      <w:r>
        <w:rPr>
          <w:rFonts w:hint="eastAsia"/>
          <w:b/>
        </w:rPr>
        <w:t xml:space="preserve">A.2 </w:t>
      </w:r>
      <w:r>
        <w:rPr>
          <w:rFonts w:hint="eastAsia"/>
        </w:rPr>
        <w:t xml:space="preserve"> 厨余垃圾运输车辆的车身外观尺寸示例。</w:t>
      </w:r>
    </w:p>
    <w:p>
      <w:pPr>
        <w:pStyle w:val="57"/>
        <w:ind w:firstLine="0" w:firstLineChars="0"/>
        <w:jc w:val="center"/>
        <w:rPr>
          <w:rFonts w:hint="eastAsia"/>
        </w:rPr>
      </w:pPr>
      <w:r>
        <w:drawing>
          <wp:inline distT="0" distB="0" distL="0" distR="0">
            <wp:extent cx="6154420" cy="26574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0"/>
                    <a:stretch>
                      <a:fillRect/>
                    </a:stretch>
                  </pic:blipFill>
                  <pic:spPr>
                    <a:xfrm>
                      <a:off x="0" y="0"/>
                      <a:ext cx="6190952" cy="2673143"/>
                    </a:xfrm>
                    <a:prstGeom prst="rect">
                      <a:avLst/>
                    </a:prstGeom>
                  </pic:spPr>
                </pic:pic>
              </a:graphicData>
            </a:graphic>
          </wp:inline>
        </w:drawing>
      </w:r>
    </w:p>
    <w:p>
      <w:pPr>
        <w:pStyle w:val="175"/>
        <w:numPr>
          <w:ilvl w:val="0"/>
          <w:numId w:val="0"/>
        </w:numPr>
        <w:ind w:left="851" w:hanging="426"/>
        <w:jc w:val="center"/>
      </w:pPr>
      <w:r>
        <w:t>a</w:t>
      </w:r>
      <w:r>
        <w:rPr>
          <w:rFonts w:hint="eastAsia"/>
        </w:rPr>
        <w:t>）厨余垃圾运输车左侧外观尺寸</w:t>
      </w:r>
    </w:p>
    <w:p>
      <w:pPr>
        <w:pStyle w:val="57"/>
        <w:ind w:firstLine="0" w:firstLineChars="0"/>
        <w:jc w:val="center"/>
      </w:pPr>
      <w:r>
        <w:drawing>
          <wp:inline distT="0" distB="0" distL="0" distR="0">
            <wp:extent cx="6266815" cy="2590800"/>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1"/>
                    <a:stretch>
                      <a:fillRect/>
                    </a:stretch>
                  </pic:blipFill>
                  <pic:spPr>
                    <a:xfrm>
                      <a:off x="0" y="0"/>
                      <a:ext cx="6280310" cy="2596290"/>
                    </a:xfrm>
                    <a:prstGeom prst="rect">
                      <a:avLst/>
                    </a:prstGeom>
                  </pic:spPr>
                </pic:pic>
              </a:graphicData>
            </a:graphic>
          </wp:inline>
        </w:drawing>
      </w:r>
    </w:p>
    <w:p>
      <w:pPr>
        <w:pStyle w:val="57"/>
        <w:ind w:firstLine="420"/>
        <w:jc w:val="center"/>
      </w:pPr>
      <w:r>
        <w:t>b</w:t>
      </w:r>
      <w:r>
        <w:rPr>
          <w:rFonts w:hint="eastAsia"/>
        </w:rPr>
        <w:t>）厨余垃圾运输车右侧外观尺寸</w:t>
      </w:r>
    </w:p>
    <w:p>
      <w:pPr>
        <w:pStyle w:val="57"/>
        <w:ind w:firstLine="0" w:firstLineChars="0"/>
        <w:jc w:val="center"/>
        <w:rPr>
          <w:rFonts w:hint="eastAsia"/>
        </w:rPr>
      </w:pPr>
      <w:r>
        <w:drawing>
          <wp:inline distT="0" distB="0" distL="0" distR="0">
            <wp:extent cx="2247900" cy="19526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2"/>
                    <a:stretch>
                      <a:fillRect/>
                    </a:stretch>
                  </pic:blipFill>
                  <pic:spPr>
                    <a:xfrm>
                      <a:off x="0" y="0"/>
                      <a:ext cx="2252915" cy="1956480"/>
                    </a:xfrm>
                    <a:prstGeom prst="rect">
                      <a:avLst/>
                    </a:prstGeom>
                  </pic:spPr>
                </pic:pic>
              </a:graphicData>
            </a:graphic>
          </wp:inline>
        </w:drawing>
      </w:r>
    </w:p>
    <w:p>
      <w:pPr>
        <w:pStyle w:val="57"/>
        <w:ind w:firstLine="0" w:firstLineChars="0"/>
        <w:jc w:val="center"/>
      </w:pPr>
      <w:r>
        <w:drawing>
          <wp:inline distT="0" distB="0" distL="0" distR="0">
            <wp:extent cx="2085975" cy="340360"/>
            <wp:effectExtent l="0" t="0" r="0" b="254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3"/>
                    <a:stretch>
                      <a:fillRect/>
                    </a:stretch>
                  </pic:blipFill>
                  <pic:spPr>
                    <a:xfrm>
                      <a:off x="0" y="0"/>
                      <a:ext cx="2085714" cy="340934"/>
                    </a:xfrm>
                    <a:prstGeom prst="rect">
                      <a:avLst/>
                    </a:prstGeom>
                  </pic:spPr>
                </pic:pic>
              </a:graphicData>
            </a:graphic>
          </wp:inline>
        </w:drawing>
      </w:r>
    </w:p>
    <w:p>
      <w:pPr>
        <w:pStyle w:val="57"/>
        <w:ind w:firstLine="420"/>
        <w:jc w:val="center"/>
        <w:rPr>
          <w:rFonts w:hint="eastAsia"/>
        </w:rPr>
      </w:pPr>
      <w:r>
        <w:t>c</w:t>
      </w:r>
      <w:r>
        <w:rPr>
          <w:rFonts w:hint="eastAsia"/>
        </w:rPr>
        <w:t>）厨余垃圾运输车车尾外观尺寸</w:t>
      </w:r>
    </w:p>
    <w:p>
      <w:pPr>
        <w:pStyle w:val="84"/>
        <w:spacing w:before="120" w:after="120"/>
      </w:pPr>
      <w:r>
        <w:rPr>
          <w:rFonts w:hint="eastAsia"/>
        </w:rPr>
        <w:t>厨余垃圾运输车外观尺寸示例</w:t>
      </w:r>
    </w:p>
    <w:p>
      <w:pPr>
        <w:pStyle w:val="57"/>
        <w:ind w:firstLine="422"/>
      </w:pPr>
      <w:r>
        <w:rPr>
          <w:rFonts w:hint="eastAsia"/>
          <w:b/>
        </w:rPr>
        <w:t>A.3</w:t>
      </w:r>
      <w:r>
        <w:rPr>
          <w:rFonts w:hint="eastAsia"/>
        </w:rPr>
        <w:t xml:space="preserve"> 厨余垃圾运输车辆的车身外观实物效果示例。</w:t>
      </w:r>
    </w:p>
    <w:p>
      <w:pPr>
        <w:pStyle w:val="57"/>
        <w:ind w:firstLine="420"/>
      </w:pPr>
    </w:p>
    <w:p>
      <w:pPr>
        <w:pStyle w:val="57"/>
        <w:ind w:firstLine="420"/>
      </w:pPr>
      <w:r>
        <w:drawing>
          <wp:inline distT="0" distB="0" distL="0" distR="0">
            <wp:extent cx="5704205" cy="14954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704403" cy="1495425"/>
                    </a:xfrm>
                    <a:prstGeom prst="rect">
                      <a:avLst/>
                    </a:prstGeom>
                  </pic:spPr>
                </pic:pic>
              </a:graphicData>
            </a:graphic>
          </wp:inline>
        </w:drawing>
      </w:r>
    </w:p>
    <w:p>
      <w:pPr>
        <w:pStyle w:val="57"/>
        <w:ind w:firstLine="420"/>
      </w:pPr>
    </w:p>
    <w:p>
      <w:pPr>
        <w:pStyle w:val="84"/>
        <w:spacing w:before="120" w:after="120"/>
      </w:pPr>
      <w:r>
        <w:rPr>
          <w:rFonts w:hint="eastAsia"/>
        </w:rPr>
        <w:t>厨余垃圾运输车外观实物示例</w:t>
      </w:r>
    </w:p>
    <w:bookmarkEnd w:id="92"/>
    <w:p>
      <w:pPr>
        <w:pStyle w:val="64"/>
        <w:spacing w:after="120"/>
        <w:rPr>
          <w:spacing w:val="105"/>
          <w:lang w:val="en"/>
        </w:rPr>
      </w:pPr>
      <w:bookmarkStart w:id="96" w:name="_Toc110445132"/>
      <w:bookmarkStart w:id="97" w:name="_Toc110444791"/>
      <w:bookmarkStart w:id="98" w:name="_Toc110444995"/>
      <w:bookmarkStart w:id="99" w:name="BookMark6"/>
    </w:p>
    <w:p>
      <w:pPr>
        <w:pStyle w:val="64"/>
        <w:spacing w:after="120"/>
        <w:rPr>
          <w:spacing w:val="105"/>
          <w:lang w:val="en"/>
        </w:rPr>
      </w:pPr>
    </w:p>
    <w:p>
      <w:pPr>
        <w:pStyle w:val="64"/>
        <w:spacing w:after="120"/>
        <w:rPr>
          <w:rFonts w:hint="eastAsia"/>
          <w:spacing w:val="105"/>
          <w:lang w:val="en"/>
        </w:rPr>
      </w:pPr>
    </w:p>
    <w:p>
      <w:pPr>
        <w:rPr>
          <w:rFonts w:hint="eastAsia"/>
          <w:lang w:val="en"/>
        </w:rPr>
      </w:pPr>
    </w:p>
    <w:p>
      <w:pPr>
        <w:widowControl/>
        <w:adjustRightInd/>
        <w:spacing w:line="240" w:lineRule="auto"/>
        <w:jc w:val="left"/>
        <w:rPr>
          <w:lang w:val="en"/>
        </w:rPr>
      </w:pPr>
      <w:r>
        <w:rPr>
          <w:lang w:val="en"/>
        </w:rPr>
        <w:br w:type="page"/>
      </w:r>
    </w:p>
    <w:p>
      <w:pPr>
        <w:pStyle w:val="64"/>
        <w:spacing w:after="120"/>
        <w:rPr>
          <w:lang w:val="en"/>
        </w:rPr>
      </w:pPr>
      <w:r>
        <w:rPr>
          <w:rFonts w:hint="eastAsia"/>
          <w:spacing w:val="105"/>
          <w:lang w:val="en"/>
        </w:rPr>
        <w:t>参考文</w:t>
      </w:r>
      <w:r>
        <w:rPr>
          <w:rFonts w:hint="eastAsia"/>
          <w:lang w:val="en"/>
        </w:rPr>
        <w:t>献</w:t>
      </w:r>
      <w:bookmarkEnd w:id="96"/>
      <w:bookmarkEnd w:id="97"/>
      <w:bookmarkEnd w:id="98"/>
    </w:p>
    <w:p>
      <w:pPr>
        <w:pStyle w:val="57"/>
        <w:ind w:firstLine="420"/>
        <w:rPr>
          <w:rFonts w:hAnsi="宋体"/>
          <w:szCs w:val="21"/>
        </w:rPr>
      </w:pPr>
      <w:r>
        <w:rPr>
          <w:rFonts w:hint="eastAsia" w:hAnsi="宋体"/>
          <w:szCs w:val="21"/>
        </w:rPr>
        <w:t>[1] GB/T19095-2019 生活垃圾分类标志</w:t>
      </w:r>
    </w:p>
    <w:p>
      <w:pPr>
        <w:pStyle w:val="57"/>
        <w:ind w:firstLine="420"/>
        <w:rPr>
          <w:rFonts w:hAnsi="宋体"/>
          <w:szCs w:val="21"/>
        </w:rPr>
      </w:pPr>
      <w:r>
        <w:rPr>
          <w:rFonts w:hint="eastAsia" w:hAnsi="宋体"/>
          <w:szCs w:val="21"/>
        </w:rPr>
        <w:t>[2] 《主要场所生活垃圾分类工作指引》 广东省住房和城乡建设厅2020年9月23日印发</w:t>
      </w:r>
    </w:p>
    <w:p>
      <w:pPr>
        <w:pStyle w:val="57"/>
        <w:ind w:firstLine="420"/>
        <w:rPr>
          <w:rFonts w:hAnsi="宋体"/>
          <w:szCs w:val="21"/>
        </w:rPr>
      </w:pPr>
      <w:r>
        <w:rPr>
          <w:rFonts w:hint="eastAsia" w:hAnsi="宋体"/>
          <w:szCs w:val="21"/>
        </w:rPr>
        <w:t>[3] 《中山市生活垃圾分类管理办法》 中山市人民政府令 第18号</w:t>
      </w:r>
    </w:p>
    <w:p>
      <w:pPr>
        <w:pStyle w:val="57"/>
        <w:ind w:firstLine="420"/>
        <w:rPr>
          <w:rFonts w:hAnsi="宋体"/>
          <w:szCs w:val="21"/>
        </w:rPr>
      </w:pPr>
      <w:r>
        <w:rPr>
          <w:rFonts w:hint="eastAsia" w:hAnsi="宋体"/>
          <w:szCs w:val="21"/>
        </w:rPr>
        <w:t>[4] 《中山市餐厨管理办法》 中山市人民政府令 第20号</w:t>
      </w:r>
    </w:p>
    <w:bookmarkEnd w:id="99"/>
    <w:p>
      <w:pPr>
        <w:pStyle w:val="57"/>
        <w:ind w:firstLine="0" w:firstLineChars="0"/>
        <w:jc w:val="center"/>
      </w:pPr>
      <w:bookmarkStart w:id="100" w:name="BookMark8"/>
      <w:r>
        <w:drawing>
          <wp:inline distT="0" distB="0" distL="0" distR="0">
            <wp:extent cx="1485900" cy="317500"/>
            <wp:effectExtent l="0" t="0" r="0" b="6350"/>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5"/>
                    <a:stretch>
                      <a:fillRect/>
                    </a:stretch>
                  </pic:blipFill>
                  <pic:spPr>
                    <a:xfrm>
                      <a:off x="0" y="0"/>
                      <a:ext cx="1485900" cy="317500"/>
                    </a:xfrm>
                    <a:prstGeom prst="rect">
                      <a:avLst/>
                    </a:prstGeom>
                  </pic:spPr>
                </pic:pic>
              </a:graphicData>
            </a:graphic>
          </wp:inline>
        </w:drawing>
      </w:r>
      <w:bookmarkEnd w:id="100"/>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T/XXX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T/XXX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5474"/>
        </w:tabs>
        <w:ind w:left="5474" w:hanging="648"/>
      </w:pPr>
    </w:lvl>
    <w:lvl w:ilvl="1" w:tentative="0">
      <w:start w:val="1"/>
      <w:numFmt w:val="lowerLetter"/>
      <w:lvlText w:val="%2)"/>
      <w:lvlJc w:val="left"/>
      <w:pPr>
        <w:tabs>
          <w:tab w:val="left" w:pos="5666"/>
        </w:tabs>
        <w:ind w:left="5666" w:hanging="420"/>
      </w:pPr>
    </w:lvl>
    <w:lvl w:ilvl="2" w:tentative="0">
      <w:start w:val="1"/>
      <w:numFmt w:val="lowerRoman"/>
      <w:lvlText w:val="%3."/>
      <w:lvlJc w:val="right"/>
      <w:pPr>
        <w:tabs>
          <w:tab w:val="left" w:pos="6086"/>
        </w:tabs>
        <w:ind w:left="6086" w:hanging="420"/>
      </w:pPr>
    </w:lvl>
    <w:lvl w:ilvl="3" w:tentative="0">
      <w:start w:val="1"/>
      <w:numFmt w:val="decimal"/>
      <w:lvlText w:val="%4."/>
      <w:lvlJc w:val="left"/>
      <w:pPr>
        <w:tabs>
          <w:tab w:val="left" w:pos="6506"/>
        </w:tabs>
        <w:ind w:left="6506" w:hanging="420"/>
      </w:pPr>
    </w:lvl>
    <w:lvl w:ilvl="4" w:tentative="0">
      <w:start w:val="1"/>
      <w:numFmt w:val="lowerLetter"/>
      <w:lvlText w:val="%5)"/>
      <w:lvlJc w:val="left"/>
      <w:pPr>
        <w:tabs>
          <w:tab w:val="left" w:pos="6926"/>
        </w:tabs>
        <w:ind w:left="6926" w:hanging="420"/>
      </w:pPr>
    </w:lvl>
    <w:lvl w:ilvl="5" w:tentative="0">
      <w:start w:val="1"/>
      <w:numFmt w:val="lowerRoman"/>
      <w:lvlText w:val="%6."/>
      <w:lvlJc w:val="right"/>
      <w:pPr>
        <w:tabs>
          <w:tab w:val="left" w:pos="7346"/>
        </w:tabs>
        <w:ind w:left="7346" w:hanging="420"/>
      </w:pPr>
    </w:lvl>
    <w:lvl w:ilvl="6" w:tentative="0">
      <w:start w:val="1"/>
      <w:numFmt w:val="decimal"/>
      <w:lvlText w:val="%7."/>
      <w:lvlJc w:val="left"/>
      <w:pPr>
        <w:tabs>
          <w:tab w:val="left" w:pos="7766"/>
        </w:tabs>
        <w:ind w:left="7766" w:hanging="420"/>
      </w:pPr>
    </w:lvl>
    <w:lvl w:ilvl="7" w:tentative="0">
      <w:start w:val="1"/>
      <w:numFmt w:val="lowerLetter"/>
      <w:lvlText w:val="%8)"/>
      <w:lvlJc w:val="left"/>
      <w:pPr>
        <w:tabs>
          <w:tab w:val="left" w:pos="8186"/>
        </w:tabs>
        <w:ind w:left="8186" w:hanging="420"/>
      </w:pPr>
    </w:lvl>
    <w:lvl w:ilvl="8" w:tentative="0">
      <w:start w:val="1"/>
      <w:numFmt w:val="lowerRoman"/>
      <w:lvlText w:val="%9."/>
      <w:lvlJc w:val="right"/>
      <w:pPr>
        <w:tabs>
          <w:tab w:val="left" w:pos="8606"/>
        </w:tabs>
        <w:ind w:left="8606"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14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1"/>
  <w:bordersDoNotSurroundFooter w:val="1"/>
  <w:attachedTemplate r:id="rId1"/>
  <w:documentProtection w:edit="forms" w:enforcement="1"/>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1MWY2ZjBkNGIxODM4NzhiOTc2ZmU2NTRjMmQ4YmIifQ=="/>
  </w:docVars>
  <w:rsids>
    <w:rsidRoot w:val="003C5629"/>
    <w:rsid w:val="0000040A"/>
    <w:rsid w:val="00000A94"/>
    <w:rsid w:val="00001972"/>
    <w:rsid w:val="00001D9A"/>
    <w:rsid w:val="00006E2E"/>
    <w:rsid w:val="00007B3A"/>
    <w:rsid w:val="000107E0"/>
    <w:rsid w:val="00011FDE"/>
    <w:rsid w:val="00012FFD"/>
    <w:rsid w:val="00014162"/>
    <w:rsid w:val="00014340"/>
    <w:rsid w:val="000154DB"/>
    <w:rsid w:val="00016905"/>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432B"/>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27D3"/>
    <w:rsid w:val="00073C8C"/>
    <w:rsid w:val="000752C1"/>
    <w:rsid w:val="000757A9"/>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4ECA"/>
    <w:rsid w:val="000A7311"/>
    <w:rsid w:val="000B060F"/>
    <w:rsid w:val="000B1592"/>
    <w:rsid w:val="000B1FF2"/>
    <w:rsid w:val="000B3CDA"/>
    <w:rsid w:val="000B6A0B"/>
    <w:rsid w:val="000C0F6C"/>
    <w:rsid w:val="000C11DB"/>
    <w:rsid w:val="000C1492"/>
    <w:rsid w:val="000C2FBD"/>
    <w:rsid w:val="000C3EFA"/>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0F7B63"/>
    <w:rsid w:val="0010442E"/>
    <w:rsid w:val="00104926"/>
    <w:rsid w:val="00113B1E"/>
    <w:rsid w:val="0011545E"/>
    <w:rsid w:val="00115B72"/>
    <w:rsid w:val="0011711C"/>
    <w:rsid w:val="00120D48"/>
    <w:rsid w:val="00124E4F"/>
    <w:rsid w:val="001260B7"/>
    <w:rsid w:val="001265CB"/>
    <w:rsid w:val="001321C6"/>
    <w:rsid w:val="001325C4"/>
    <w:rsid w:val="00132D5C"/>
    <w:rsid w:val="00133010"/>
    <w:rsid w:val="001338EE"/>
    <w:rsid w:val="00133AAE"/>
    <w:rsid w:val="00133BB4"/>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451"/>
    <w:rsid w:val="00157894"/>
    <w:rsid w:val="00157B55"/>
    <w:rsid w:val="00161AA8"/>
    <w:rsid w:val="001642FA"/>
    <w:rsid w:val="001649EB"/>
    <w:rsid w:val="00164BAF"/>
    <w:rsid w:val="00164FA8"/>
    <w:rsid w:val="00165065"/>
    <w:rsid w:val="001652F0"/>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A66FF"/>
    <w:rsid w:val="001B06E8"/>
    <w:rsid w:val="001B6B28"/>
    <w:rsid w:val="001B71D0"/>
    <w:rsid w:val="001B71EE"/>
    <w:rsid w:val="001C04A8"/>
    <w:rsid w:val="001C2C03"/>
    <w:rsid w:val="001C42F7"/>
    <w:rsid w:val="001C49E5"/>
    <w:rsid w:val="001C5AA4"/>
    <w:rsid w:val="001C680C"/>
    <w:rsid w:val="001C7FEA"/>
    <w:rsid w:val="001D0499"/>
    <w:rsid w:val="001D0BBE"/>
    <w:rsid w:val="001D0ED4"/>
    <w:rsid w:val="001D212F"/>
    <w:rsid w:val="001D29D7"/>
    <w:rsid w:val="001D2DE7"/>
    <w:rsid w:val="001D411C"/>
    <w:rsid w:val="001E1B6A"/>
    <w:rsid w:val="001E2484"/>
    <w:rsid w:val="001E3CC4"/>
    <w:rsid w:val="001E4882"/>
    <w:rsid w:val="001E5C35"/>
    <w:rsid w:val="001E61B0"/>
    <w:rsid w:val="001E73AB"/>
    <w:rsid w:val="001E75E9"/>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3D8"/>
    <w:rsid w:val="00210B15"/>
    <w:rsid w:val="002142EA"/>
    <w:rsid w:val="002143AC"/>
    <w:rsid w:val="002150B3"/>
    <w:rsid w:val="002156B7"/>
    <w:rsid w:val="00215ADD"/>
    <w:rsid w:val="002204BB"/>
    <w:rsid w:val="00221B79"/>
    <w:rsid w:val="00221C6B"/>
    <w:rsid w:val="00221FB0"/>
    <w:rsid w:val="002239F6"/>
    <w:rsid w:val="002253A1"/>
    <w:rsid w:val="00225CF8"/>
    <w:rsid w:val="0022794E"/>
    <w:rsid w:val="00233D64"/>
    <w:rsid w:val="0023482A"/>
    <w:rsid w:val="002359CB"/>
    <w:rsid w:val="0024191F"/>
    <w:rsid w:val="00243540"/>
    <w:rsid w:val="0024497B"/>
    <w:rsid w:val="0024515B"/>
    <w:rsid w:val="00245802"/>
    <w:rsid w:val="00246021"/>
    <w:rsid w:val="0024666E"/>
    <w:rsid w:val="00247F52"/>
    <w:rsid w:val="00250B25"/>
    <w:rsid w:val="00250BBE"/>
    <w:rsid w:val="002515C2"/>
    <w:rsid w:val="0025194F"/>
    <w:rsid w:val="00254DB0"/>
    <w:rsid w:val="0026148A"/>
    <w:rsid w:val="00262696"/>
    <w:rsid w:val="00263D25"/>
    <w:rsid w:val="002643C3"/>
    <w:rsid w:val="00264A0C"/>
    <w:rsid w:val="00266EEB"/>
    <w:rsid w:val="00267EF4"/>
    <w:rsid w:val="00270CB8"/>
    <w:rsid w:val="002712F7"/>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4EEB"/>
    <w:rsid w:val="002A5977"/>
    <w:rsid w:val="002A5A13"/>
    <w:rsid w:val="002A757F"/>
    <w:rsid w:val="002A7F44"/>
    <w:rsid w:val="002B0C40"/>
    <w:rsid w:val="002B1966"/>
    <w:rsid w:val="002B4508"/>
    <w:rsid w:val="002B4D96"/>
    <w:rsid w:val="002B5779"/>
    <w:rsid w:val="002B7332"/>
    <w:rsid w:val="002B7F51"/>
    <w:rsid w:val="002C09E7"/>
    <w:rsid w:val="002C1E06"/>
    <w:rsid w:val="002C3F07"/>
    <w:rsid w:val="002C5278"/>
    <w:rsid w:val="002C790B"/>
    <w:rsid w:val="002C7EBB"/>
    <w:rsid w:val="002D06C1"/>
    <w:rsid w:val="002D42B5"/>
    <w:rsid w:val="002D4F1A"/>
    <w:rsid w:val="002D6EC6"/>
    <w:rsid w:val="002D79AC"/>
    <w:rsid w:val="002E039D"/>
    <w:rsid w:val="002E3E66"/>
    <w:rsid w:val="002E4D5A"/>
    <w:rsid w:val="002E6326"/>
    <w:rsid w:val="002E7F81"/>
    <w:rsid w:val="002F30E0"/>
    <w:rsid w:val="002F35E4"/>
    <w:rsid w:val="002F3730"/>
    <w:rsid w:val="002F38E1"/>
    <w:rsid w:val="002F4626"/>
    <w:rsid w:val="002F7AF6"/>
    <w:rsid w:val="00300E63"/>
    <w:rsid w:val="00302F5F"/>
    <w:rsid w:val="0030441D"/>
    <w:rsid w:val="00304A4C"/>
    <w:rsid w:val="00306063"/>
    <w:rsid w:val="00313B85"/>
    <w:rsid w:val="00316CF8"/>
    <w:rsid w:val="00317988"/>
    <w:rsid w:val="003210E0"/>
    <w:rsid w:val="003221B4"/>
    <w:rsid w:val="0032258D"/>
    <w:rsid w:val="00322E62"/>
    <w:rsid w:val="00324D13"/>
    <w:rsid w:val="00324EDD"/>
    <w:rsid w:val="00332CC1"/>
    <w:rsid w:val="003331E4"/>
    <w:rsid w:val="0033641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47F4"/>
    <w:rsid w:val="003965F3"/>
    <w:rsid w:val="003974EB"/>
    <w:rsid w:val="00397CC5"/>
    <w:rsid w:val="003A11D1"/>
    <w:rsid w:val="003A1582"/>
    <w:rsid w:val="003A3D9C"/>
    <w:rsid w:val="003A4077"/>
    <w:rsid w:val="003A4AA7"/>
    <w:rsid w:val="003B09AD"/>
    <w:rsid w:val="003B1F18"/>
    <w:rsid w:val="003B444E"/>
    <w:rsid w:val="003B5BF0"/>
    <w:rsid w:val="003B60BF"/>
    <w:rsid w:val="003B6BE3"/>
    <w:rsid w:val="003B7A31"/>
    <w:rsid w:val="003C010C"/>
    <w:rsid w:val="003C0A6C"/>
    <w:rsid w:val="003C14F8"/>
    <w:rsid w:val="003C3F63"/>
    <w:rsid w:val="003C5629"/>
    <w:rsid w:val="003C5A43"/>
    <w:rsid w:val="003C5ACE"/>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307D"/>
    <w:rsid w:val="00403BE5"/>
    <w:rsid w:val="00404869"/>
    <w:rsid w:val="00405884"/>
    <w:rsid w:val="00407D39"/>
    <w:rsid w:val="0041477A"/>
    <w:rsid w:val="00414CE8"/>
    <w:rsid w:val="004167A3"/>
    <w:rsid w:val="00417A86"/>
    <w:rsid w:val="00432DAA"/>
    <w:rsid w:val="004334B7"/>
    <w:rsid w:val="00434305"/>
    <w:rsid w:val="00435DF7"/>
    <w:rsid w:val="0044083F"/>
    <w:rsid w:val="00441AE7"/>
    <w:rsid w:val="00445574"/>
    <w:rsid w:val="004464B8"/>
    <w:rsid w:val="004467FB"/>
    <w:rsid w:val="004475EF"/>
    <w:rsid w:val="00452832"/>
    <w:rsid w:val="00452D6B"/>
    <w:rsid w:val="00454484"/>
    <w:rsid w:val="0045517B"/>
    <w:rsid w:val="00463B77"/>
    <w:rsid w:val="00463B97"/>
    <w:rsid w:val="00463C7B"/>
    <w:rsid w:val="004644A6"/>
    <w:rsid w:val="004656B4"/>
    <w:rsid w:val="004659BD"/>
    <w:rsid w:val="00470775"/>
    <w:rsid w:val="004746B1"/>
    <w:rsid w:val="0047479E"/>
    <w:rsid w:val="0047583F"/>
    <w:rsid w:val="00475DE8"/>
    <w:rsid w:val="00481C44"/>
    <w:rsid w:val="00484936"/>
    <w:rsid w:val="00485C89"/>
    <w:rsid w:val="00486BE3"/>
    <w:rsid w:val="004905E4"/>
    <w:rsid w:val="00490A89"/>
    <w:rsid w:val="00490AB4"/>
    <w:rsid w:val="00492F02"/>
    <w:rsid w:val="004939AE"/>
    <w:rsid w:val="004942F3"/>
    <w:rsid w:val="00497265"/>
    <w:rsid w:val="004A07FF"/>
    <w:rsid w:val="004A12DF"/>
    <w:rsid w:val="004A1BA8"/>
    <w:rsid w:val="004A4432"/>
    <w:rsid w:val="004A4B57"/>
    <w:rsid w:val="004A63FA"/>
    <w:rsid w:val="004A6A3D"/>
    <w:rsid w:val="004A721C"/>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11D8"/>
    <w:rsid w:val="004D2253"/>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13A"/>
    <w:rsid w:val="00512F6E"/>
    <w:rsid w:val="00513038"/>
    <w:rsid w:val="00514174"/>
    <w:rsid w:val="00516088"/>
    <w:rsid w:val="00516B0B"/>
    <w:rsid w:val="00517801"/>
    <w:rsid w:val="005220EC"/>
    <w:rsid w:val="00523F95"/>
    <w:rsid w:val="00524D65"/>
    <w:rsid w:val="00525B16"/>
    <w:rsid w:val="00533D04"/>
    <w:rsid w:val="00534804"/>
    <w:rsid w:val="00534BDF"/>
    <w:rsid w:val="005354EA"/>
    <w:rsid w:val="0053585F"/>
    <w:rsid w:val="00535EC4"/>
    <w:rsid w:val="00535ED9"/>
    <w:rsid w:val="0053692B"/>
    <w:rsid w:val="00541683"/>
    <w:rsid w:val="00541853"/>
    <w:rsid w:val="00543BDA"/>
    <w:rsid w:val="005441CC"/>
    <w:rsid w:val="005479DA"/>
    <w:rsid w:val="00547BCC"/>
    <w:rsid w:val="0055013B"/>
    <w:rsid w:val="005502AD"/>
    <w:rsid w:val="00551F6F"/>
    <w:rsid w:val="00555044"/>
    <w:rsid w:val="00561475"/>
    <w:rsid w:val="00562308"/>
    <w:rsid w:val="0056487B"/>
    <w:rsid w:val="00564FB9"/>
    <w:rsid w:val="0057206C"/>
    <w:rsid w:val="005725EF"/>
    <w:rsid w:val="00573D9E"/>
    <w:rsid w:val="005801E3"/>
    <w:rsid w:val="00581802"/>
    <w:rsid w:val="005836A8"/>
    <w:rsid w:val="0058409C"/>
    <w:rsid w:val="00584262"/>
    <w:rsid w:val="00586630"/>
    <w:rsid w:val="00587ADD"/>
    <w:rsid w:val="00593A49"/>
    <w:rsid w:val="00596160"/>
    <w:rsid w:val="005966E2"/>
    <w:rsid w:val="00597007"/>
    <w:rsid w:val="0059751D"/>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39BF"/>
    <w:rsid w:val="005C5F21"/>
    <w:rsid w:val="005C7156"/>
    <w:rsid w:val="005D0C75"/>
    <w:rsid w:val="005D402E"/>
    <w:rsid w:val="005D4171"/>
    <w:rsid w:val="005D5F26"/>
    <w:rsid w:val="005D6A95"/>
    <w:rsid w:val="005D6B2C"/>
    <w:rsid w:val="005D6D9C"/>
    <w:rsid w:val="005E2335"/>
    <w:rsid w:val="005E34CA"/>
    <w:rsid w:val="005E3C18"/>
    <w:rsid w:val="005E4250"/>
    <w:rsid w:val="005E6812"/>
    <w:rsid w:val="005E7881"/>
    <w:rsid w:val="005E78E0"/>
    <w:rsid w:val="005F0D9C"/>
    <w:rsid w:val="005F284E"/>
    <w:rsid w:val="006015CE"/>
    <w:rsid w:val="00604784"/>
    <w:rsid w:val="00604CA6"/>
    <w:rsid w:val="00606419"/>
    <w:rsid w:val="00607D29"/>
    <w:rsid w:val="00612952"/>
    <w:rsid w:val="00614CC1"/>
    <w:rsid w:val="00615A9D"/>
    <w:rsid w:val="00617387"/>
    <w:rsid w:val="006205D6"/>
    <w:rsid w:val="00620BCA"/>
    <w:rsid w:val="006252D8"/>
    <w:rsid w:val="006259BC"/>
    <w:rsid w:val="0062636B"/>
    <w:rsid w:val="00632182"/>
    <w:rsid w:val="00632AE0"/>
    <w:rsid w:val="00632F21"/>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2868"/>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45ED"/>
    <w:rsid w:val="006A07AA"/>
    <w:rsid w:val="006A0AB2"/>
    <w:rsid w:val="006A0FCE"/>
    <w:rsid w:val="006A25E5"/>
    <w:rsid w:val="006A2B46"/>
    <w:rsid w:val="006A336D"/>
    <w:rsid w:val="006A3594"/>
    <w:rsid w:val="006A37B9"/>
    <w:rsid w:val="006B2672"/>
    <w:rsid w:val="006B54BF"/>
    <w:rsid w:val="006B5F44"/>
    <w:rsid w:val="006B5F90"/>
    <w:rsid w:val="006B62E4"/>
    <w:rsid w:val="006C1BBA"/>
    <w:rsid w:val="006C2079"/>
    <w:rsid w:val="006C5A62"/>
    <w:rsid w:val="006C5D68"/>
    <w:rsid w:val="006C6976"/>
    <w:rsid w:val="006C6DD0"/>
    <w:rsid w:val="006C7E92"/>
    <w:rsid w:val="006D04EA"/>
    <w:rsid w:val="006D16C4"/>
    <w:rsid w:val="006D3E96"/>
    <w:rsid w:val="006D4515"/>
    <w:rsid w:val="006D4BB1"/>
    <w:rsid w:val="006D6593"/>
    <w:rsid w:val="006E78C0"/>
    <w:rsid w:val="006F03A8"/>
    <w:rsid w:val="006F2ACA"/>
    <w:rsid w:val="006F2ADC"/>
    <w:rsid w:val="006F2BFE"/>
    <w:rsid w:val="006F31E9"/>
    <w:rsid w:val="006F5C86"/>
    <w:rsid w:val="006F6284"/>
    <w:rsid w:val="007002C5"/>
    <w:rsid w:val="00704387"/>
    <w:rsid w:val="00707669"/>
    <w:rsid w:val="00711CBA"/>
    <w:rsid w:val="00711FB5"/>
    <w:rsid w:val="00712A01"/>
    <w:rsid w:val="00714F58"/>
    <w:rsid w:val="00715873"/>
    <w:rsid w:val="00722FBF"/>
    <w:rsid w:val="00722FC2"/>
    <w:rsid w:val="00724E1B"/>
    <w:rsid w:val="00725949"/>
    <w:rsid w:val="00727FA2"/>
    <w:rsid w:val="007322D9"/>
    <w:rsid w:val="00732BC0"/>
    <w:rsid w:val="0073720F"/>
    <w:rsid w:val="00737796"/>
    <w:rsid w:val="00740AE7"/>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438"/>
    <w:rsid w:val="00781DD2"/>
    <w:rsid w:val="00783ECF"/>
    <w:rsid w:val="0078413A"/>
    <w:rsid w:val="00786F2F"/>
    <w:rsid w:val="0079157C"/>
    <w:rsid w:val="00792D35"/>
    <w:rsid w:val="007959E8"/>
    <w:rsid w:val="00795E9C"/>
    <w:rsid w:val="007A0521"/>
    <w:rsid w:val="007A2E12"/>
    <w:rsid w:val="007A3475"/>
    <w:rsid w:val="007A41C8"/>
    <w:rsid w:val="007A54CE"/>
    <w:rsid w:val="007A5D3A"/>
    <w:rsid w:val="007A6FD9"/>
    <w:rsid w:val="007A7FFA"/>
    <w:rsid w:val="007B04EB"/>
    <w:rsid w:val="007B0D4F"/>
    <w:rsid w:val="007B1748"/>
    <w:rsid w:val="007B5A3D"/>
    <w:rsid w:val="007B5B95"/>
    <w:rsid w:val="007B6032"/>
    <w:rsid w:val="007B68EA"/>
    <w:rsid w:val="007B7453"/>
    <w:rsid w:val="007C2036"/>
    <w:rsid w:val="007C2D89"/>
    <w:rsid w:val="007C4593"/>
    <w:rsid w:val="007C485C"/>
    <w:rsid w:val="007C5309"/>
    <w:rsid w:val="007C553C"/>
    <w:rsid w:val="007C6069"/>
    <w:rsid w:val="007C6F79"/>
    <w:rsid w:val="007D06C4"/>
    <w:rsid w:val="007D1352"/>
    <w:rsid w:val="007D2508"/>
    <w:rsid w:val="007D346A"/>
    <w:rsid w:val="007D6518"/>
    <w:rsid w:val="007D76BD"/>
    <w:rsid w:val="007E0BF1"/>
    <w:rsid w:val="007F0ED8"/>
    <w:rsid w:val="007F0F63"/>
    <w:rsid w:val="007F1BF3"/>
    <w:rsid w:val="007F30A1"/>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0E45"/>
    <w:rsid w:val="0083348C"/>
    <w:rsid w:val="008373D3"/>
    <w:rsid w:val="008378C2"/>
    <w:rsid w:val="00840617"/>
    <w:rsid w:val="00840F84"/>
    <w:rsid w:val="00842A47"/>
    <w:rsid w:val="00843C13"/>
    <w:rsid w:val="00843DEF"/>
    <w:rsid w:val="008454F8"/>
    <w:rsid w:val="0084618A"/>
    <w:rsid w:val="0085173A"/>
    <w:rsid w:val="00852071"/>
    <w:rsid w:val="008530E3"/>
    <w:rsid w:val="0085425C"/>
    <w:rsid w:val="008600B1"/>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2C2D"/>
    <w:rsid w:val="008A57E6"/>
    <w:rsid w:val="008A6F81"/>
    <w:rsid w:val="008A769A"/>
    <w:rsid w:val="008B0C9C"/>
    <w:rsid w:val="008B166D"/>
    <w:rsid w:val="008B17F4"/>
    <w:rsid w:val="008B3615"/>
    <w:rsid w:val="008B4AC4"/>
    <w:rsid w:val="008B50C8"/>
    <w:rsid w:val="008B5281"/>
    <w:rsid w:val="008B7E05"/>
    <w:rsid w:val="008C1797"/>
    <w:rsid w:val="008C219C"/>
    <w:rsid w:val="008C42DE"/>
    <w:rsid w:val="008C475E"/>
    <w:rsid w:val="008C619A"/>
    <w:rsid w:val="008C7497"/>
    <w:rsid w:val="008D0CE8"/>
    <w:rsid w:val="008D2D1D"/>
    <w:rsid w:val="008D3CAC"/>
    <w:rsid w:val="008D453D"/>
    <w:rsid w:val="008D53AD"/>
    <w:rsid w:val="008D562B"/>
    <w:rsid w:val="008D5733"/>
    <w:rsid w:val="008D622B"/>
    <w:rsid w:val="008D666C"/>
    <w:rsid w:val="008D7665"/>
    <w:rsid w:val="008D7B54"/>
    <w:rsid w:val="008E0C9D"/>
    <w:rsid w:val="008E1648"/>
    <w:rsid w:val="008E1B3E"/>
    <w:rsid w:val="008E2319"/>
    <w:rsid w:val="008E4BB6"/>
    <w:rsid w:val="008E5518"/>
    <w:rsid w:val="008E6A84"/>
    <w:rsid w:val="008F0CDC"/>
    <w:rsid w:val="008F17A3"/>
    <w:rsid w:val="008F1ED3"/>
    <w:rsid w:val="008F2B26"/>
    <w:rsid w:val="008F4C29"/>
    <w:rsid w:val="008F70BD"/>
    <w:rsid w:val="008F788F"/>
    <w:rsid w:val="008F7EA2"/>
    <w:rsid w:val="00902722"/>
    <w:rsid w:val="009027BC"/>
    <w:rsid w:val="009062E6"/>
    <w:rsid w:val="0091040F"/>
    <w:rsid w:val="009110DB"/>
    <w:rsid w:val="00911BE5"/>
    <w:rsid w:val="00913CA9"/>
    <w:rsid w:val="009145AE"/>
    <w:rsid w:val="009146CE"/>
    <w:rsid w:val="00914CA7"/>
    <w:rsid w:val="00915C3E"/>
    <w:rsid w:val="009161A8"/>
    <w:rsid w:val="0091632B"/>
    <w:rsid w:val="009173B1"/>
    <w:rsid w:val="00917BA5"/>
    <w:rsid w:val="00917F34"/>
    <w:rsid w:val="009230AB"/>
    <w:rsid w:val="009245AE"/>
    <w:rsid w:val="009245F5"/>
    <w:rsid w:val="009249EC"/>
    <w:rsid w:val="009273B3"/>
    <w:rsid w:val="009305B5"/>
    <w:rsid w:val="009378DD"/>
    <w:rsid w:val="009429D5"/>
    <w:rsid w:val="00942BF1"/>
    <w:rsid w:val="009435C8"/>
    <w:rsid w:val="00945180"/>
    <w:rsid w:val="00945428"/>
    <w:rsid w:val="0094607B"/>
    <w:rsid w:val="00950F8F"/>
    <w:rsid w:val="00953604"/>
    <w:rsid w:val="0095496B"/>
    <w:rsid w:val="00960F1E"/>
    <w:rsid w:val="009610DC"/>
    <w:rsid w:val="00961490"/>
    <w:rsid w:val="00963313"/>
    <w:rsid w:val="0096381A"/>
    <w:rsid w:val="00965E04"/>
    <w:rsid w:val="009674AD"/>
    <w:rsid w:val="00967AA1"/>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3A16"/>
    <w:rsid w:val="009A42C1"/>
    <w:rsid w:val="009A5429"/>
    <w:rsid w:val="009A72AD"/>
    <w:rsid w:val="009B09E0"/>
    <w:rsid w:val="009B0BC5"/>
    <w:rsid w:val="009B1247"/>
    <w:rsid w:val="009B6029"/>
    <w:rsid w:val="009B6971"/>
    <w:rsid w:val="009C27F1"/>
    <w:rsid w:val="009C3152"/>
    <w:rsid w:val="009C3257"/>
    <w:rsid w:val="009C4CFA"/>
    <w:rsid w:val="009C5070"/>
    <w:rsid w:val="009C7DB5"/>
    <w:rsid w:val="009D112C"/>
    <w:rsid w:val="009D1385"/>
    <w:rsid w:val="009D47FA"/>
    <w:rsid w:val="009D4C5B"/>
    <w:rsid w:val="009D50D2"/>
    <w:rsid w:val="009D6BCA"/>
    <w:rsid w:val="009E0F62"/>
    <w:rsid w:val="009E4A58"/>
    <w:rsid w:val="009E5A2D"/>
    <w:rsid w:val="009E5AB2"/>
    <w:rsid w:val="009E6219"/>
    <w:rsid w:val="009F03B3"/>
    <w:rsid w:val="00A0096C"/>
    <w:rsid w:val="00A01260"/>
    <w:rsid w:val="00A01757"/>
    <w:rsid w:val="00A028C0"/>
    <w:rsid w:val="00A02BAE"/>
    <w:rsid w:val="00A033EF"/>
    <w:rsid w:val="00A04BD5"/>
    <w:rsid w:val="00A05A81"/>
    <w:rsid w:val="00A06A6B"/>
    <w:rsid w:val="00A07E47"/>
    <w:rsid w:val="00A129D0"/>
    <w:rsid w:val="00A12C33"/>
    <w:rsid w:val="00A138BA"/>
    <w:rsid w:val="00A14C8E"/>
    <w:rsid w:val="00A150BA"/>
    <w:rsid w:val="00A153D9"/>
    <w:rsid w:val="00A15F09"/>
    <w:rsid w:val="00A169B6"/>
    <w:rsid w:val="00A206AE"/>
    <w:rsid w:val="00A2271D"/>
    <w:rsid w:val="00A237D5"/>
    <w:rsid w:val="00A30EFC"/>
    <w:rsid w:val="00A31984"/>
    <w:rsid w:val="00A32D73"/>
    <w:rsid w:val="00A3367B"/>
    <w:rsid w:val="00A33C67"/>
    <w:rsid w:val="00A33F58"/>
    <w:rsid w:val="00A34673"/>
    <w:rsid w:val="00A3597D"/>
    <w:rsid w:val="00A36949"/>
    <w:rsid w:val="00A36C2F"/>
    <w:rsid w:val="00A36D79"/>
    <w:rsid w:val="00A36DD1"/>
    <w:rsid w:val="00A4006C"/>
    <w:rsid w:val="00A40091"/>
    <w:rsid w:val="00A4030F"/>
    <w:rsid w:val="00A41C79"/>
    <w:rsid w:val="00A41CB5"/>
    <w:rsid w:val="00A42CDF"/>
    <w:rsid w:val="00A4452E"/>
    <w:rsid w:val="00A4472C"/>
    <w:rsid w:val="00A44E69"/>
    <w:rsid w:val="00A46335"/>
    <w:rsid w:val="00A4661E"/>
    <w:rsid w:val="00A53DEE"/>
    <w:rsid w:val="00A55BD6"/>
    <w:rsid w:val="00A55D50"/>
    <w:rsid w:val="00A57142"/>
    <w:rsid w:val="00A636AF"/>
    <w:rsid w:val="00A648CD"/>
    <w:rsid w:val="00A6537A"/>
    <w:rsid w:val="00A67866"/>
    <w:rsid w:val="00A70B07"/>
    <w:rsid w:val="00A723F8"/>
    <w:rsid w:val="00A77CCB"/>
    <w:rsid w:val="00A83D8D"/>
    <w:rsid w:val="00A8446B"/>
    <w:rsid w:val="00A8473F"/>
    <w:rsid w:val="00A862D6"/>
    <w:rsid w:val="00A8715E"/>
    <w:rsid w:val="00A90861"/>
    <w:rsid w:val="00A9295B"/>
    <w:rsid w:val="00A93B09"/>
    <w:rsid w:val="00A952D7"/>
    <w:rsid w:val="00A9564C"/>
    <w:rsid w:val="00A95702"/>
    <w:rsid w:val="00A963F7"/>
    <w:rsid w:val="00A96AD8"/>
    <w:rsid w:val="00AA052C"/>
    <w:rsid w:val="00AA1E45"/>
    <w:rsid w:val="00AA4286"/>
    <w:rsid w:val="00AA43F3"/>
    <w:rsid w:val="00AA456B"/>
    <w:rsid w:val="00AA57F5"/>
    <w:rsid w:val="00AA672E"/>
    <w:rsid w:val="00AA6EC9"/>
    <w:rsid w:val="00AB6309"/>
    <w:rsid w:val="00AB6C5F"/>
    <w:rsid w:val="00AB7129"/>
    <w:rsid w:val="00AC27A6"/>
    <w:rsid w:val="00AC30F7"/>
    <w:rsid w:val="00AC3A5A"/>
    <w:rsid w:val="00AC48A8"/>
    <w:rsid w:val="00AC4D95"/>
    <w:rsid w:val="00AC5A8F"/>
    <w:rsid w:val="00AC5DF4"/>
    <w:rsid w:val="00AD097F"/>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AF703F"/>
    <w:rsid w:val="00B016FF"/>
    <w:rsid w:val="00B049AF"/>
    <w:rsid w:val="00B0609C"/>
    <w:rsid w:val="00B07242"/>
    <w:rsid w:val="00B10534"/>
    <w:rsid w:val="00B113DB"/>
    <w:rsid w:val="00B11D8A"/>
    <w:rsid w:val="00B12981"/>
    <w:rsid w:val="00B147DD"/>
    <w:rsid w:val="00B156FD"/>
    <w:rsid w:val="00B21F61"/>
    <w:rsid w:val="00B258FF"/>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2A"/>
    <w:rsid w:val="00B60ACF"/>
    <w:rsid w:val="00B62B58"/>
    <w:rsid w:val="00B64A5F"/>
    <w:rsid w:val="00B64D9D"/>
    <w:rsid w:val="00B65149"/>
    <w:rsid w:val="00B66567"/>
    <w:rsid w:val="00B6662B"/>
    <w:rsid w:val="00B66F52"/>
    <w:rsid w:val="00B66FE5"/>
    <w:rsid w:val="00B67B80"/>
    <w:rsid w:val="00B72880"/>
    <w:rsid w:val="00B758BF"/>
    <w:rsid w:val="00B77EC8"/>
    <w:rsid w:val="00B827A6"/>
    <w:rsid w:val="00B831CE"/>
    <w:rsid w:val="00B86677"/>
    <w:rsid w:val="00B86FD6"/>
    <w:rsid w:val="00B87131"/>
    <w:rsid w:val="00B877B4"/>
    <w:rsid w:val="00B90791"/>
    <w:rsid w:val="00B91D85"/>
    <w:rsid w:val="00B939B1"/>
    <w:rsid w:val="00B941DA"/>
    <w:rsid w:val="00B96D40"/>
    <w:rsid w:val="00B97386"/>
    <w:rsid w:val="00BA263B"/>
    <w:rsid w:val="00BA42B2"/>
    <w:rsid w:val="00BA568A"/>
    <w:rsid w:val="00BA58D4"/>
    <w:rsid w:val="00BA5B9E"/>
    <w:rsid w:val="00BA7C9A"/>
    <w:rsid w:val="00BB22ED"/>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183"/>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70A"/>
    <w:rsid w:val="00C35A3E"/>
    <w:rsid w:val="00C36F27"/>
    <w:rsid w:val="00C42080"/>
    <w:rsid w:val="00C42130"/>
    <w:rsid w:val="00C423A4"/>
    <w:rsid w:val="00C423E3"/>
    <w:rsid w:val="00C44BF5"/>
    <w:rsid w:val="00C465C3"/>
    <w:rsid w:val="00C521D6"/>
    <w:rsid w:val="00C55232"/>
    <w:rsid w:val="00C553A4"/>
    <w:rsid w:val="00C55A06"/>
    <w:rsid w:val="00C55D03"/>
    <w:rsid w:val="00C601BC"/>
    <w:rsid w:val="00C6329F"/>
    <w:rsid w:val="00C63340"/>
    <w:rsid w:val="00C643F9"/>
    <w:rsid w:val="00C64E95"/>
    <w:rsid w:val="00C65535"/>
    <w:rsid w:val="00C67E84"/>
    <w:rsid w:val="00C71372"/>
    <w:rsid w:val="00C72244"/>
    <w:rsid w:val="00C72410"/>
    <w:rsid w:val="00C7287F"/>
    <w:rsid w:val="00C758D1"/>
    <w:rsid w:val="00C80CB8"/>
    <w:rsid w:val="00C819F8"/>
    <w:rsid w:val="00C8248C"/>
    <w:rsid w:val="00C84A36"/>
    <w:rsid w:val="00C84E33"/>
    <w:rsid w:val="00C8626F"/>
    <w:rsid w:val="00C86D6F"/>
    <w:rsid w:val="00C905FC"/>
    <w:rsid w:val="00C92D03"/>
    <w:rsid w:val="00C9319C"/>
    <w:rsid w:val="00C9435D"/>
    <w:rsid w:val="00C94DF2"/>
    <w:rsid w:val="00C96741"/>
    <w:rsid w:val="00C97493"/>
    <w:rsid w:val="00CA2D1B"/>
    <w:rsid w:val="00CA375D"/>
    <w:rsid w:val="00CA60F8"/>
    <w:rsid w:val="00CA662A"/>
    <w:rsid w:val="00CA7AFD"/>
    <w:rsid w:val="00CA7C3C"/>
    <w:rsid w:val="00CB0189"/>
    <w:rsid w:val="00CB0BA2"/>
    <w:rsid w:val="00CB14C8"/>
    <w:rsid w:val="00CB1A42"/>
    <w:rsid w:val="00CB1B0C"/>
    <w:rsid w:val="00CB2C0B"/>
    <w:rsid w:val="00CB2C85"/>
    <w:rsid w:val="00CB517D"/>
    <w:rsid w:val="00CC038D"/>
    <w:rsid w:val="00CC08DB"/>
    <w:rsid w:val="00CC39FF"/>
    <w:rsid w:val="00CC3C2F"/>
    <w:rsid w:val="00CC3DF4"/>
    <w:rsid w:val="00CC4AC8"/>
    <w:rsid w:val="00CC5233"/>
    <w:rsid w:val="00CC5DE6"/>
    <w:rsid w:val="00CC6E4E"/>
    <w:rsid w:val="00CC6FE8"/>
    <w:rsid w:val="00CC7202"/>
    <w:rsid w:val="00CD2808"/>
    <w:rsid w:val="00CD28BF"/>
    <w:rsid w:val="00CD4092"/>
    <w:rsid w:val="00CD4A20"/>
    <w:rsid w:val="00CD50A1"/>
    <w:rsid w:val="00CD519E"/>
    <w:rsid w:val="00CD5EDF"/>
    <w:rsid w:val="00CE0C4F"/>
    <w:rsid w:val="00CE1932"/>
    <w:rsid w:val="00CE30EA"/>
    <w:rsid w:val="00CF01B8"/>
    <w:rsid w:val="00CF048A"/>
    <w:rsid w:val="00CF155A"/>
    <w:rsid w:val="00CF1B3D"/>
    <w:rsid w:val="00CF2947"/>
    <w:rsid w:val="00CF686F"/>
    <w:rsid w:val="00CF6E60"/>
    <w:rsid w:val="00CF7352"/>
    <w:rsid w:val="00CF7BCA"/>
    <w:rsid w:val="00D008FD"/>
    <w:rsid w:val="00D0321C"/>
    <w:rsid w:val="00D035EC"/>
    <w:rsid w:val="00D06AB1"/>
    <w:rsid w:val="00D06FC1"/>
    <w:rsid w:val="00D072ED"/>
    <w:rsid w:val="00D07A16"/>
    <w:rsid w:val="00D1067E"/>
    <w:rsid w:val="00D10F50"/>
    <w:rsid w:val="00D11272"/>
    <w:rsid w:val="00D126F5"/>
    <w:rsid w:val="00D141AF"/>
    <w:rsid w:val="00D1489E"/>
    <w:rsid w:val="00D20737"/>
    <w:rsid w:val="00D21E81"/>
    <w:rsid w:val="00D223DE"/>
    <w:rsid w:val="00D25E37"/>
    <w:rsid w:val="00D2661A"/>
    <w:rsid w:val="00D27582"/>
    <w:rsid w:val="00D27EC4"/>
    <w:rsid w:val="00D32719"/>
    <w:rsid w:val="00D33333"/>
    <w:rsid w:val="00D352A2"/>
    <w:rsid w:val="00D4162B"/>
    <w:rsid w:val="00D43A57"/>
    <w:rsid w:val="00D4514F"/>
    <w:rsid w:val="00D451E2"/>
    <w:rsid w:val="00D45E89"/>
    <w:rsid w:val="00D45E8D"/>
    <w:rsid w:val="00D466AE"/>
    <w:rsid w:val="00D4734F"/>
    <w:rsid w:val="00D51BF3"/>
    <w:rsid w:val="00D6153B"/>
    <w:rsid w:val="00D63542"/>
    <w:rsid w:val="00D660CF"/>
    <w:rsid w:val="00D66846"/>
    <w:rsid w:val="00D675FB"/>
    <w:rsid w:val="00D67CD2"/>
    <w:rsid w:val="00D717A6"/>
    <w:rsid w:val="00D71F25"/>
    <w:rsid w:val="00D72A9C"/>
    <w:rsid w:val="00D76EE4"/>
    <w:rsid w:val="00D77031"/>
    <w:rsid w:val="00D84563"/>
    <w:rsid w:val="00D84941"/>
    <w:rsid w:val="00D84FA1"/>
    <w:rsid w:val="00D851F0"/>
    <w:rsid w:val="00D86DB7"/>
    <w:rsid w:val="00D87BF5"/>
    <w:rsid w:val="00D90721"/>
    <w:rsid w:val="00D926D0"/>
    <w:rsid w:val="00D93030"/>
    <w:rsid w:val="00D950E1"/>
    <w:rsid w:val="00D952A6"/>
    <w:rsid w:val="00D956AA"/>
    <w:rsid w:val="00D97F99"/>
    <w:rsid w:val="00DA1E08"/>
    <w:rsid w:val="00DA24F8"/>
    <w:rsid w:val="00DA28E8"/>
    <w:rsid w:val="00DA38D3"/>
    <w:rsid w:val="00DA3932"/>
    <w:rsid w:val="00DA3AFC"/>
    <w:rsid w:val="00DA64F8"/>
    <w:rsid w:val="00DA6C15"/>
    <w:rsid w:val="00DB0258"/>
    <w:rsid w:val="00DB15D2"/>
    <w:rsid w:val="00DB38EE"/>
    <w:rsid w:val="00DB498B"/>
    <w:rsid w:val="00DB66CA"/>
    <w:rsid w:val="00DB6BCA"/>
    <w:rsid w:val="00DB6F54"/>
    <w:rsid w:val="00DB73F7"/>
    <w:rsid w:val="00DC0321"/>
    <w:rsid w:val="00DC3067"/>
    <w:rsid w:val="00DC370B"/>
    <w:rsid w:val="00DC5B90"/>
    <w:rsid w:val="00DC772B"/>
    <w:rsid w:val="00DD00FF"/>
    <w:rsid w:val="00DD0619"/>
    <w:rsid w:val="00DD07FB"/>
    <w:rsid w:val="00DD25C6"/>
    <w:rsid w:val="00DD32F7"/>
    <w:rsid w:val="00DD4FE5"/>
    <w:rsid w:val="00DD54B0"/>
    <w:rsid w:val="00DD57EE"/>
    <w:rsid w:val="00DD5A7F"/>
    <w:rsid w:val="00DD6BCC"/>
    <w:rsid w:val="00DD6F0B"/>
    <w:rsid w:val="00DE0A4B"/>
    <w:rsid w:val="00DE2410"/>
    <w:rsid w:val="00DE2939"/>
    <w:rsid w:val="00DE5F6E"/>
    <w:rsid w:val="00DE6E81"/>
    <w:rsid w:val="00DE703F"/>
    <w:rsid w:val="00DE7595"/>
    <w:rsid w:val="00DF1961"/>
    <w:rsid w:val="00DF44DE"/>
    <w:rsid w:val="00DF5349"/>
    <w:rsid w:val="00DF75BC"/>
    <w:rsid w:val="00DF7739"/>
    <w:rsid w:val="00E01138"/>
    <w:rsid w:val="00E02DFB"/>
    <w:rsid w:val="00E030F9"/>
    <w:rsid w:val="00E0311A"/>
    <w:rsid w:val="00E03138"/>
    <w:rsid w:val="00E03554"/>
    <w:rsid w:val="00E06404"/>
    <w:rsid w:val="00E10281"/>
    <w:rsid w:val="00E11A85"/>
    <w:rsid w:val="00E12495"/>
    <w:rsid w:val="00E13549"/>
    <w:rsid w:val="00E15CCD"/>
    <w:rsid w:val="00E202EF"/>
    <w:rsid w:val="00E210B5"/>
    <w:rsid w:val="00E2552F"/>
    <w:rsid w:val="00E3137A"/>
    <w:rsid w:val="00E32CCF"/>
    <w:rsid w:val="00E34A98"/>
    <w:rsid w:val="00E35D1E"/>
    <w:rsid w:val="00E364F9"/>
    <w:rsid w:val="00E365FA"/>
    <w:rsid w:val="00E36789"/>
    <w:rsid w:val="00E43571"/>
    <w:rsid w:val="00E44A83"/>
    <w:rsid w:val="00E4687D"/>
    <w:rsid w:val="00E502C1"/>
    <w:rsid w:val="00E502DD"/>
    <w:rsid w:val="00E50D3A"/>
    <w:rsid w:val="00E51387"/>
    <w:rsid w:val="00E51E68"/>
    <w:rsid w:val="00E52EFD"/>
    <w:rsid w:val="00E5408A"/>
    <w:rsid w:val="00E56800"/>
    <w:rsid w:val="00E60C63"/>
    <w:rsid w:val="00E61F8D"/>
    <w:rsid w:val="00E62FF9"/>
    <w:rsid w:val="00E635D6"/>
    <w:rsid w:val="00E639BC"/>
    <w:rsid w:val="00E65653"/>
    <w:rsid w:val="00E664CC"/>
    <w:rsid w:val="00E70388"/>
    <w:rsid w:val="00E70F92"/>
    <w:rsid w:val="00E74313"/>
    <w:rsid w:val="00E74C54"/>
    <w:rsid w:val="00E75B81"/>
    <w:rsid w:val="00E77A03"/>
    <w:rsid w:val="00E77A0A"/>
    <w:rsid w:val="00E822E8"/>
    <w:rsid w:val="00E82554"/>
    <w:rsid w:val="00E82606"/>
    <w:rsid w:val="00E831C1"/>
    <w:rsid w:val="00E846C8"/>
    <w:rsid w:val="00E84957"/>
    <w:rsid w:val="00E84A55"/>
    <w:rsid w:val="00E84DD9"/>
    <w:rsid w:val="00E85BFF"/>
    <w:rsid w:val="00E86690"/>
    <w:rsid w:val="00E90391"/>
    <w:rsid w:val="00E906C2"/>
    <w:rsid w:val="00E91F16"/>
    <w:rsid w:val="00E9311F"/>
    <w:rsid w:val="00E934D1"/>
    <w:rsid w:val="00E94AF0"/>
    <w:rsid w:val="00E95D13"/>
    <w:rsid w:val="00E95DD3"/>
    <w:rsid w:val="00E969D5"/>
    <w:rsid w:val="00EA58D1"/>
    <w:rsid w:val="00EA5F18"/>
    <w:rsid w:val="00EA61BC"/>
    <w:rsid w:val="00EA6482"/>
    <w:rsid w:val="00EA681A"/>
    <w:rsid w:val="00EA735B"/>
    <w:rsid w:val="00EB1E69"/>
    <w:rsid w:val="00EB2086"/>
    <w:rsid w:val="00EB31ED"/>
    <w:rsid w:val="00EB5EDF"/>
    <w:rsid w:val="00EB60FE"/>
    <w:rsid w:val="00EB69DF"/>
    <w:rsid w:val="00EB74DB"/>
    <w:rsid w:val="00EC1C5C"/>
    <w:rsid w:val="00EC5359"/>
    <w:rsid w:val="00EC562A"/>
    <w:rsid w:val="00ED067A"/>
    <w:rsid w:val="00ED2B50"/>
    <w:rsid w:val="00EE0350"/>
    <w:rsid w:val="00EE0719"/>
    <w:rsid w:val="00EE0E80"/>
    <w:rsid w:val="00EE613F"/>
    <w:rsid w:val="00EE7295"/>
    <w:rsid w:val="00EE7869"/>
    <w:rsid w:val="00EF054A"/>
    <w:rsid w:val="00EF3235"/>
    <w:rsid w:val="00EF7E72"/>
    <w:rsid w:val="00F06CFC"/>
    <w:rsid w:val="00F06D37"/>
    <w:rsid w:val="00F07B9D"/>
    <w:rsid w:val="00F11578"/>
    <w:rsid w:val="00F11586"/>
    <w:rsid w:val="00F1183B"/>
    <w:rsid w:val="00F11C9F"/>
    <w:rsid w:val="00F12263"/>
    <w:rsid w:val="00F1409D"/>
    <w:rsid w:val="00F14214"/>
    <w:rsid w:val="00F157A9"/>
    <w:rsid w:val="00F16F00"/>
    <w:rsid w:val="00F23D2A"/>
    <w:rsid w:val="00F25BB6"/>
    <w:rsid w:val="00F26B7E"/>
    <w:rsid w:val="00F27A3B"/>
    <w:rsid w:val="00F3186A"/>
    <w:rsid w:val="00F32780"/>
    <w:rsid w:val="00F33817"/>
    <w:rsid w:val="00F420D5"/>
    <w:rsid w:val="00F43343"/>
    <w:rsid w:val="00F43902"/>
    <w:rsid w:val="00F451EA"/>
    <w:rsid w:val="00F45447"/>
    <w:rsid w:val="00F456C6"/>
    <w:rsid w:val="00F4577B"/>
    <w:rsid w:val="00F46496"/>
    <w:rsid w:val="00F474D0"/>
    <w:rsid w:val="00F50179"/>
    <w:rsid w:val="00F515EE"/>
    <w:rsid w:val="00F5241D"/>
    <w:rsid w:val="00F5278F"/>
    <w:rsid w:val="00F56511"/>
    <w:rsid w:val="00F6091D"/>
    <w:rsid w:val="00F6194E"/>
    <w:rsid w:val="00F623AC"/>
    <w:rsid w:val="00F63885"/>
    <w:rsid w:val="00F6412A"/>
    <w:rsid w:val="00F65893"/>
    <w:rsid w:val="00F66A4A"/>
    <w:rsid w:val="00F71E22"/>
    <w:rsid w:val="00F71F61"/>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4BA1"/>
    <w:rsid w:val="00FA662D"/>
    <w:rsid w:val="00FA73B1"/>
    <w:rsid w:val="00FA7B36"/>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67FD"/>
    <w:rsid w:val="00FD7299"/>
    <w:rsid w:val="00FE1FBE"/>
    <w:rsid w:val="00FE3901"/>
    <w:rsid w:val="00FE39D3"/>
    <w:rsid w:val="00FE4BCE"/>
    <w:rsid w:val="00FE54AE"/>
    <w:rsid w:val="00FE576A"/>
    <w:rsid w:val="00FE7E79"/>
    <w:rsid w:val="00FF0A9D"/>
    <w:rsid w:val="00FF3E7D"/>
    <w:rsid w:val="00FF5B99"/>
    <w:rsid w:val="00FF64FB"/>
    <w:rsid w:val="00FF704D"/>
    <w:rsid w:val="00FF730C"/>
    <w:rsid w:val="00FF73F4"/>
    <w:rsid w:val="00FF7CE4"/>
    <w:rsid w:val="00FF7E39"/>
    <w:rsid w:val="051F37CF"/>
    <w:rsid w:val="359F428C"/>
    <w:rsid w:val="434B67BC"/>
    <w:rsid w:val="44D01D05"/>
    <w:rsid w:val="489913E3"/>
    <w:rsid w:val="522A673A"/>
    <w:rsid w:val="75631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qFormat/>
    <w:uiPriority w:val="0"/>
    <w:pPr>
      <w:keepNext/>
      <w:keepLines/>
      <w:spacing w:before="260" w:after="260" w:line="416" w:lineRule="auto"/>
      <w:outlineLvl w:val="2"/>
    </w:pPr>
    <w:rPr>
      <w:b/>
      <w:bCs/>
      <w:sz w:val="32"/>
      <w:szCs w:val="32"/>
    </w:rPr>
  </w:style>
  <w:style w:type="paragraph" w:styleId="5">
    <w:name w:val="heading 4"/>
    <w:basedOn w:val="1"/>
    <w:next w:val="1"/>
    <w:link w:val="38"/>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7"/>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6"/>
    <w:semiHidden/>
    <w:unhideWhenUsed/>
    <w:qFormat/>
    <w:uiPriority w:val="99"/>
    <w:rPr>
      <w:sz w:val="18"/>
      <w:szCs w:val="18"/>
    </w:rPr>
  </w:style>
  <w:style w:type="paragraph" w:styleId="17">
    <w:name w:val="footer"/>
    <w:basedOn w:val="1"/>
    <w:link w:val="45"/>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4"/>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100"/>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Normal (Web)"/>
    <w:basedOn w:val="1"/>
    <w:semiHidden/>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6">
    <w:name w:val="Title"/>
    <w:basedOn w:val="1"/>
    <w:link w:val="49"/>
    <w:qFormat/>
    <w:uiPriority w:val="0"/>
    <w:pPr>
      <w:spacing w:before="240" w:after="60"/>
      <w:jc w:val="center"/>
      <w:outlineLvl w:val="0"/>
    </w:pPr>
    <w:rPr>
      <w:rFonts w:ascii="Arial" w:hAnsi="Arial" w:cs="Arial"/>
      <w:b/>
      <w:bCs/>
      <w:sz w:val="32"/>
      <w:szCs w:val="3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uiPriority w:val="22"/>
    <w:rPr>
      <w:b/>
      <w:bCs/>
    </w:rPr>
  </w:style>
  <w:style w:type="character" w:styleId="31">
    <w:name w:val="page number"/>
    <w:qFormat/>
    <w:uiPriority w:val="0"/>
    <w:rPr>
      <w:rFonts w:ascii="宋体" w:hAnsi="Times New Roman" w:eastAsia="宋体"/>
      <w:sz w:val="18"/>
    </w:rPr>
  </w:style>
  <w:style w:type="character" w:styleId="32">
    <w:name w:val="Emphasis"/>
    <w:qFormat/>
    <w:uiPriority w:val="20"/>
    <w:rPr>
      <w:i/>
      <w:iCs/>
    </w:rPr>
  </w:style>
  <w:style w:type="character" w:styleId="33">
    <w:name w:val="Hyperlink"/>
    <w:qFormat/>
    <w:uiPriority w:val="99"/>
    <w:rPr>
      <w:rFonts w:ascii="宋体" w:hAnsi="Times New Roman" w:eastAsia="宋体"/>
      <w:color w:val="auto"/>
      <w:spacing w:val="0"/>
      <w:w w:val="100"/>
      <w:position w:val="0"/>
      <w:sz w:val="21"/>
      <w:u w:val="none"/>
      <w:vertAlign w:val="baseline"/>
    </w:rPr>
  </w:style>
  <w:style w:type="character" w:styleId="34">
    <w:name w:val="footnote reference"/>
    <w:semiHidden/>
    <w:qFormat/>
    <w:uiPriority w:val="0"/>
    <w:rPr>
      <w:rFonts w:ascii="宋体" w:hAnsi="宋体" w:eastAsia="宋体" w:cs="Times New Roman"/>
      <w:spacing w:val="0"/>
      <w:sz w:val="18"/>
      <w:vertAlign w:val="superscript"/>
    </w:rPr>
  </w:style>
  <w:style w:type="character" w:customStyle="1" w:styleId="35">
    <w:name w:val="标题 1 Char"/>
    <w:link w:val="2"/>
    <w:qFormat/>
    <w:uiPriority w:val="0"/>
    <w:rPr>
      <w:b/>
      <w:bCs/>
      <w:kern w:val="44"/>
      <w:sz w:val="44"/>
      <w:szCs w:val="44"/>
    </w:rPr>
  </w:style>
  <w:style w:type="character" w:customStyle="1" w:styleId="36">
    <w:name w:val="标题 2 Char"/>
    <w:link w:val="3"/>
    <w:qFormat/>
    <w:uiPriority w:val="0"/>
    <w:rPr>
      <w:rFonts w:ascii="Arial" w:hAnsi="Arial" w:eastAsia="黑体"/>
      <w:b/>
      <w:bCs/>
      <w:kern w:val="2"/>
      <w:sz w:val="32"/>
      <w:szCs w:val="32"/>
    </w:rPr>
  </w:style>
  <w:style w:type="character" w:customStyle="1" w:styleId="37">
    <w:name w:val="标题 3 Char"/>
    <w:link w:val="4"/>
    <w:qFormat/>
    <w:uiPriority w:val="0"/>
    <w:rPr>
      <w:b/>
      <w:bCs/>
      <w:kern w:val="2"/>
      <w:sz w:val="32"/>
      <w:szCs w:val="32"/>
    </w:rPr>
  </w:style>
  <w:style w:type="character" w:customStyle="1" w:styleId="38">
    <w:name w:val="标题 4 Char"/>
    <w:link w:val="5"/>
    <w:qFormat/>
    <w:uiPriority w:val="0"/>
    <w:rPr>
      <w:rFonts w:ascii="Arial" w:hAnsi="Arial" w:eastAsia="黑体"/>
      <w:b/>
      <w:bCs/>
      <w:kern w:val="2"/>
      <w:sz w:val="28"/>
      <w:szCs w:val="28"/>
    </w:rPr>
  </w:style>
  <w:style w:type="character" w:customStyle="1" w:styleId="39">
    <w:name w:val="标题 5 Char"/>
    <w:link w:val="6"/>
    <w:qFormat/>
    <w:uiPriority w:val="0"/>
    <w:rPr>
      <w:b/>
      <w:bCs/>
      <w:kern w:val="2"/>
      <w:sz w:val="28"/>
      <w:szCs w:val="28"/>
    </w:rPr>
  </w:style>
  <w:style w:type="character" w:customStyle="1" w:styleId="40">
    <w:name w:val="标题 6 Char"/>
    <w:link w:val="7"/>
    <w:qFormat/>
    <w:uiPriority w:val="0"/>
    <w:rPr>
      <w:rFonts w:ascii="Arial" w:hAnsi="Arial" w:eastAsia="黑体"/>
      <w:b/>
      <w:bCs/>
      <w:kern w:val="2"/>
      <w:sz w:val="24"/>
      <w:szCs w:val="24"/>
    </w:rPr>
  </w:style>
  <w:style w:type="character" w:customStyle="1" w:styleId="41">
    <w:name w:val="标题 7 Char"/>
    <w:link w:val="8"/>
    <w:qFormat/>
    <w:uiPriority w:val="0"/>
    <w:rPr>
      <w:b/>
      <w:bCs/>
      <w:kern w:val="2"/>
      <w:sz w:val="24"/>
      <w:szCs w:val="24"/>
    </w:rPr>
  </w:style>
  <w:style w:type="character" w:customStyle="1" w:styleId="42">
    <w:name w:val="标题 8 Char"/>
    <w:link w:val="9"/>
    <w:qFormat/>
    <w:uiPriority w:val="0"/>
    <w:rPr>
      <w:rFonts w:ascii="Arial" w:hAnsi="Arial" w:eastAsia="黑体"/>
      <w:kern w:val="2"/>
      <w:sz w:val="24"/>
      <w:szCs w:val="24"/>
    </w:rPr>
  </w:style>
  <w:style w:type="character" w:customStyle="1" w:styleId="43">
    <w:name w:val="标题 9 Char"/>
    <w:link w:val="10"/>
    <w:qFormat/>
    <w:uiPriority w:val="0"/>
    <w:rPr>
      <w:rFonts w:ascii="Arial" w:hAnsi="Arial" w:eastAsia="黑体"/>
      <w:kern w:val="2"/>
      <w:sz w:val="21"/>
      <w:szCs w:val="21"/>
    </w:rPr>
  </w:style>
  <w:style w:type="character" w:customStyle="1" w:styleId="44">
    <w:name w:val="页眉 Char"/>
    <w:link w:val="18"/>
    <w:qFormat/>
    <w:uiPriority w:val="99"/>
    <w:rPr>
      <w:kern w:val="2"/>
      <w:sz w:val="18"/>
      <w:szCs w:val="18"/>
    </w:rPr>
  </w:style>
  <w:style w:type="character" w:customStyle="1" w:styleId="45">
    <w:name w:val="页脚 Char"/>
    <w:link w:val="17"/>
    <w:qFormat/>
    <w:uiPriority w:val="99"/>
    <w:rPr>
      <w:rFonts w:ascii="宋体"/>
      <w:kern w:val="2"/>
      <w:sz w:val="18"/>
      <w:szCs w:val="18"/>
    </w:rPr>
  </w:style>
  <w:style w:type="character" w:customStyle="1" w:styleId="46">
    <w:name w:val="批注框文本 Char"/>
    <w:link w:val="16"/>
    <w:semiHidden/>
    <w:qFormat/>
    <w:uiPriority w:val="99"/>
    <w:rPr>
      <w:kern w:val="2"/>
      <w:sz w:val="18"/>
      <w:szCs w:val="18"/>
    </w:rPr>
  </w:style>
  <w:style w:type="paragraph" w:styleId="47">
    <w:name w:val="Quote"/>
    <w:basedOn w:val="1"/>
    <w:next w:val="1"/>
    <w:link w:val="48"/>
    <w:qFormat/>
    <w:uiPriority w:val="29"/>
    <w:rPr>
      <w:i/>
      <w:iCs/>
      <w:color w:val="000000"/>
    </w:rPr>
  </w:style>
  <w:style w:type="character" w:customStyle="1" w:styleId="48">
    <w:name w:val="引用 Char"/>
    <w:link w:val="47"/>
    <w:qFormat/>
    <w:uiPriority w:val="29"/>
    <w:rPr>
      <w:i/>
      <w:iCs/>
      <w:color w:val="000000"/>
      <w:kern w:val="2"/>
      <w:sz w:val="21"/>
      <w:szCs w:val="21"/>
    </w:rPr>
  </w:style>
  <w:style w:type="character" w:customStyle="1" w:styleId="49">
    <w:name w:val="标题 Char"/>
    <w:link w:val="26"/>
    <w:qFormat/>
    <w:uiPriority w:val="0"/>
    <w:rPr>
      <w:rFonts w:ascii="Arial" w:hAnsi="Arial" w:cs="Arial"/>
      <w:b/>
      <w:bCs/>
      <w:kern w:val="2"/>
      <w:sz w:val="32"/>
      <w:szCs w:val="32"/>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qFormat/>
    <w:uiPriority w:val="0"/>
    <w:pPr>
      <w:spacing w:line="0" w:lineRule="atLeast"/>
    </w:pPr>
    <w:rPr>
      <w:rFonts w:ascii="黑体" w:hAnsi="宋体" w:eastAsia="黑体"/>
    </w:rPr>
  </w:style>
  <w:style w:type="paragraph" w:customStyle="1" w:styleId="56">
    <w:name w:val="标准文件_标准正文"/>
    <w:basedOn w:val="1"/>
    <w:next w:val="57"/>
    <w:qFormat/>
    <w:uiPriority w:val="0"/>
    <w:pPr>
      <w:snapToGrid w:val="0"/>
      <w:ind w:firstLine="200" w:firstLineChars="200"/>
    </w:pPr>
    <w:rPr>
      <w:kern w:val="0"/>
    </w:rPr>
  </w:style>
  <w:style w:type="paragraph" w:customStyle="1" w:styleId="57">
    <w:name w:val="标准文件_段"/>
    <w:link w:val="18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qFormat/>
    <w:uiPriority w:val="0"/>
    <w:pPr>
      <w:adjustRightInd/>
      <w:snapToGrid/>
      <w:ind w:firstLine="0" w:firstLineChars="0"/>
    </w:pPr>
    <w:rPr>
      <w:rFonts w:ascii="宋体" w:hAnsi="宋体"/>
      <w:kern w:val="2"/>
    </w:rPr>
  </w:style>
  <w:style w:type="paragraph" w:customStyle="1" w:styleId="59">
    <w:name w:val="标准文件_标准部门"/>
    <w:basedOn w:val="1"/>
    <w:qFormat/>
    <w:uiPriority w:val="0"/>
    <w:pPr>
      <w:jc w:val="center"/>
    </w:pPr>
    <w:rPr>
      <w:rFonts w:ascii="黑体" w:eastAsia="黑体"/>
      <w:kern w:val="0"/>
      <w:sz w:val="44"/>
    </w:rPr>
  </w:style>
  <w:style w:type="paragraph" w:customStyle="1" w:styleId="60">
    <w:name w:val="标准文件_标准代替"/>
    <w:basedOn w:val="1"/>
    <w:next w:val="1"/>
    <w:qFormat/>
    <w:uiPriority w:val="0"/>
    <w:pPr>
      <w:spacing w:line="310" w:lineRule="exact"/>
      <w:jc w:val="right"/>
    </w:pPr>
    <w:rPr>
      <w:rFonts w:ascii="宋体" w:hAnsi="宋体"/>
      <w:kern w:val="0"/>
    </w:rPr>
  </w:style>
  <w:style w:type="paragraph" w:customStyle="1" w:styleId="61">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qFormat/>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5">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qFormat/>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qFormat/>
    <w:uiPriority w:val="0"/>
    <w:rPr>
      <w:rFonts w:ascii="黑体" w:eastAsia="黑体"/>
      <w:b/>
      <w:kern w:val="0"/>
      <w:sz w:val="28"/>
    </w:rPr>
  </w:style>
  <w:style w:type="paragraph" w:customStyle="1" w:styleId="71">
    <w:name w:val="标准文件_封面标准名称"/>
    <w:basedOn w:val="1"/>
    <w:qFormat/>
    <w:uiPriority w:val="0"/>
    <w:pPr>
      <w:spacing w:line="240" w:lineRule="auto"/>
      <w:jc w:val="center"/>
    </w:pPr>
    <w:rPr>
      <w:rFonts w:ascii="黑体" w:eastAsia="黑体"/>
      <w:kern w:val="0"/>
      <w:sz w:val="52"/>
    </w:rPr>
  </w:style>
  <w:style w:type="paragraph" w:customStyle="1" w:styleId="72">
    <w:name w:val="标准文件_封面标准英文名称"/>
    <w:basedOn w:val="1"/>
    <w:qFormat/>
    <w:uiPriority w:val="0"/>
    <w:pPr>
      <w:spacing w:line="240" w:lineRule="auto"/>
      <w:jc w:val="center"/>
    </w:pPr>
    <w:rPr>
      <w:rFonts w:ascii="黑体" w:eastAsia="黑体"/>
      <w:b/>
      <w:sz w:val="28"/>
    </w:rPr>
  </w:style>
  <w:style w:type="paragraph" w:customStyle="1" w:styleId="73">
    <w:name w:val="标准文件_封面发布日期"/>
    <w:basedOn w:val="1"/>
    <w:qFormat/>
    <w:uiPriority w:val="0"/>
    <w:pPr>
      <w:spacing w:line="310" w:lineRule="exact"/>
    </w:pPr>
    <w:rPr>
      <w:rFonts w:ascii="黑体" w:eastAsia="黑体"/>
      <w:kern w:val="0"/>
      <w:sz w:val="28"/>
    </w:rPr>
  </w:style>
  <w:style w:type="paragraph" w:customStyle="1" w:styleId="74">
    <w:name w:val="标准文件_封面密级"/>
    <w:basedOn w:val="1"/>
    <w:qFormat/>
    <w:uiPriority w:val="0"/>
    <w:rPr>
      <w:rFonts w:eastAsia="黑体"/>
      <w:sz w:val="32"/>
    </w:rPr>
  </w:style>
  <w:style w:type="paragraph" w:customStyle="1" w:styleId="75">
    <w:name w:val="标准文件_封面实施日期"/>
    <w:basedOn w:val="1"/>
    <w:qFormat/>
    <w:uiPriority w:val="0"/>
    <w:pPr>
      <w:spacing w:line="310" w:lineRule="exact"/>
      <w:jc w:val="right"/>
    </w:pPr>
    <w:rPr>
      <w:rFonts w:ascii="黑体" w:eastAsia="黑体"/>
      <w:sz w:val="28"/>
    </w:rPr>
  </w:style>
  <w:style w:type="paragraph" w:customStyle="1" w:styleId="76">
    <w:name w:val="标准文件_封面抬头"/>
    <w:basedOn w:val="57"/>
    <w:qFormat/>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qFormat/>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3"/>
    <w:qFormat/>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qFormat/>
    <w:uiPriority w:val="0"/>
    <w:pPr>
      <w:ind w:left="488" w:leftChars="200" w:hanging="289" w:hangingChars="290"/>
    </w:pPr>
  </w:style>
  <w:style w:type="paragraph" w:customStyle="1" w:styleId="90">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3">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qFormat/>
    <w:uiPriority w:val="0"/>
    <w:pPr>
      <w:widowControl/>
      <w:numPr>
        <w:ilvl w:val="4"/>
      </w:numPr>
      <w:outlineLvl w:val="3"/>
    </w:pPr>
  </w:style>
  <w:style w:type="character" w:customStyle="1" w:styleId="96">
    <w:name w:val="不明显参考1"/>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1"/>
    <w:semiHidden/>
    <w:qFormat/>
    <w:uiPriority w:val="0"/>
    <w:rPr>
      <w:rFonts w:ascii="宋体"/>
      <w:kern w:val="2"/>
      <w:sz w:val="18"/>
      <w:szCs w:val="18"/>
    </w:rPr>
  </w:style>
  <w:style w:type="paragraph" w:customStyle="1" w:styleId="101">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qFormat/>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qFormat/>
    <w:uiPriority w:val="0"/>
    <w:pPr>
      <w:numPr>
        <w:ilvl w:val="2"/>
      </w:numPr>
      <w:spacing w:before="50" w:beforeLines="50" w:after="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qFormat/>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1">
    <w:name w:val="标准文件_英文注："/>
    <w:basedOn w:val="1"/>
    <w:next w:val="57"/>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qFormat/>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qFormat/>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qFormat/>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qFormat/>
    <w:uiPriority w:val="0"/>
    <w:pPr>
      <w:widowControl/>
      <w:adjustRightInd/>
      <w:jc w:val="center"/>
    </w:pPr>
    <w:rPr>
      <w:rFonts w:ascii="黑体" w:eastAsia="黑体"/>
    </w:rPr>
  </w:style>
  <w:style w:type="paragraph" w:customStyle="1" w:styleId="136">
    <w:name w:val="附录一级无标题条"/>
    <w:basedOn w:val="88"/>
    <w:next w:val="57"/>
    <w:qFormat/>
    <w:uiPriority w:val="0"/>
    <w:pPr>
      <w:autoSpaceDN w:val="0"/>
      <w:outlineLvl w:val="2"/>
    </w:pPr>
    <w:rPr>
      <w:rFonts w:ascii="宋体" w:hAnsi="宋体" w:eastAsia="宋体"/>
    </w:rPr>
  </w:style>
  <w:style w:type="character" w:customStyle="1" w:styleId="137">
    <w:name w:val="个人答复风格"/>
    <w:qFormat/>
    <w:uiPriority w:val="0"/>
    <w:rPr>
      <w:rFonts w:ascii="Arial" w:hAnsi="Arial" w:eastAsia="宋体" w:cs="Arial"/>
      <w:color w:val="auto"/>
      <w:spacing w:val="0"/>
      <w:sz w:val="20"/>
    </w:rPr>
  </w:style>
  <w:style w:type="character" w:customStyle="1" w:styleId="138">
    <w:name w:val="个人撰写风格"/>
    <w:qFormat/>
    <w:uiPriority w:val="0"/>
    <w:rPr>
      <w:rFonts w:ascii="Arial" w:hAnsi="Arial" w:eastAsia="宋体" w:cs="Arial"/>
      <w:color w:val="auto"/>
      <w:spacing w:val="0"/>
      <w:sz w:val="20"/>
    </w:rPr>
  </w:style>
  <w:style w:type="paragraph" w:customStyle="1" w:styleId="139">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qFormat/>
    <w:uiPriority w:val="0"/>
    <w:pPr>
      <w:tabs>
        <w:tab w:val="left" w:pos="840"/>
      </w:tabs>
    </w:pPr>
  </w:style>
  <w:style w:type="paragraph" w:customStyle="1" w:styleId="142">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semiHidden/>
    <w:qFormat/>
    <w:uiPriority w:val="0"/>
    <w:pPr>
      <w:adjustRightInd/>
      <w:spacing w:line="240" w:lineRule="auto"/>
      <w:jc w:val="left"/>
    </w:pPr>
    <w:rPr>
      <w:bCs/>
      <w:iCs/>
    </w:rPr>
  </w:style>
  <w:style w:type="paragraph" w:customStyle="1" w:styleId="144">
    <w:name w:val="目录 31"/>
    <w:basedOn w:val="1"/>
    <w:next w:val="1"/>
    <w:semiHidden/>
    <w:qFormat/>
    <w:uiPriority w:val="0"/>
    <w:pPr>
      <w:spacing w:line="240" w:lineRule="auto"/>
    </w:pPr>
    <w:rPr>
      <w:rFonts w:ascii="宋体" w:hAnsi="宋体"/>
      <w:iCs/>
    </w:rPr>
  </w:style>
  <w:style w:type="paragraph" w:customStyle="1" w:styleId="145">
    <w:name w:val="目录 41"/>
    <w:basedOn w:val="1"/>
    <w:next w:val="1"/>
    <w:semiHidden/>
    <w:qFormat/>
    <w:uiPriority w:val="0"/>
    <w:pPr>
      <w:adjustRightInd/>
      <w:spacing w:line="240" w:lineRule="auto"/>
      <w:jc w:val="left"/>
    </w:pPr>
  </w:style>
  <w:style w:type="paragraph" w:customStyle="1" w:styleId="146">
    <w:name w:val="目录 51"/>
    <w:basedOn w:val="1"/>
    <w:next w:val="1"/>
    <w:semiHidden/>
    <w:qFormat/>
    <w:uiPriority w:val="0"/>
    <w:pPr>
      <w:spacing w:line="240" w:lineRule="auto"/>
    </w:pPr>
    <w:rPr>
      <w:rFonts w:ascii="宋体" w:hAnsi="宋体"/>
    </w:rPr>
  </w:style>
  <w:style w:type="paragraph" w:customStyle="1" w:styleId="147">
    <w:name w:val="目录 61"/>
    <w:basedOn w:val="1"/>
    <w:next w:val="1"/>
    <w:semiHidden/>
    <w:qFormat/>
    <w:uiPriority w:val="0"/>
    <w:pPr>
      <w:adjustRightInd/>
      <w:spacing w:line="240" w:lineRule="auto"/>
      <w:jc w:val="left"/>
    </w:pPr>
  </w:style>
  <w:style w:type="paragraph" w:customStyle="1" w:styleId="148">
    <w:name w:val="目录 71"/>
    <w:basedOn w:val="147"/>
    <w:semiHidden/>
    <w:qFormat/>
    <w:uiPriority w:val="0"/>
    <w:pPr>
      <w:ind w:left="1260"/>
    </w:pPr>
  </w:style>
  <w:style w:type="paragraph" w:customStyle="1" w:styleId="149">
    <w:name w:val="目录 81"/>
    <w:basedOn w:val="148"/>
    <w:semiHidden/>
    <w:qFormat/>
    <w:uiPriority w:val="0"/>
    <w:pPr>
      <w:ind w:left="1470"/>
    </w:pPr>
  </w:style>
  <w:style w:type="paragraph" w:customStyle="1" w:styleId="150">
    <w:name w:val="目录 91"/>
    <w:basedOn w:val="149"/>
    <w:semiHidden/>
    <w:qFormat/>
    <w:uiPriority w:val="0"/>
    <w:pPr>
      <w:ind w:left="1680"/>
    </w:pPr>
  </w:style>
  <w:style w:type="paragraph" w:customStyle="1" w:styleId="151">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qFormat/>
    <w:uiPriority w:val="0"/>
    <w:pPr>
      <w:framePr w:wrap="around"/>
      <w:spacing w:line="0" w:lineRule="atLeast"/>
    </w:pPr>
    <w:rPr>
      <w:rFonts w:ascii="黑体" w:eastAsia="黑体"/>
      <w:b w:val="0"/>
    </w:rPr>
  </w:style>
  <w:style w:type="paragraph" w:customStyle="1" w:styleId="153">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5">
    <w:name w:val="实施日期"/>
    <w:basedOn w:val="121"/>
    <w:qFormat/>
    <w:uiPriority w:val="0"/>
    <w:pPr>
      <w:framePr w:hSpace="0" w:wrap="around" w:xAlign="right"/>
      <w:jc w:val="right"/>
    </w:pPr>
  </w:style>
  <w:style w:type="paragraph" w:customStyle="1" w:styleId="156">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7">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qFormat/>
    <w:uiPriority w:val="0"/>
    <w:pPr>
      <w:jc w:val="both"/>
    </w:pPr>
    <w:rPr>
      <w:rFonts w:ascii="宋体" w:hAnsi="宋体" w:eastAsia="宋体" w:cs="Times New Roman"/>
      <w:sz w:val="21"/>
      <w:lang w:val="en-US" w:eastAsia="zh-CN" w:bidi="ar-SA"/>
    </w:rPr>
  </w:style>
  <w:style w:type="paragraph" w:customStyle="1" w:styleId="159">
    <w:name w:val="五级无标题条"/>
    <w:basedOn w:val="1"/>
    <w:qFormat/>
    <w:uiPriority w:val="0"/>
    <w:pPr>
      <w:numPr>
        <w:ilvl w:val="6"/>
        <w:numId w:val="20"/>
      </w:numPr>
      <w:adjustRightInd/>
    </w:pPr>
    <w:rPr>
      <w:szCs w:val="24"/>
    </w:rPr>
  </w:style>
  <w:style w:type="paragraph" w:customStyle="1" w:styleId="160">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1">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uiPriority w:val="0"/>
    <w:pPr>
      <w:ind w:left="1406" w:leftChars="0" w:hanging="499" w:firstLineChars="0"/>
    </w:pPr>
  </w:style>
  <w:style w:type="paragraph" w:customStyle="1" w:styleId="163">
    <w:name w:val="标准文件_一级无标题"/>
    <w:basedOn w:val="106"/>
    <w:qFormat/>
    <w:uiPriority w:val="0"/>
    <w:pPr>
      <w:spacing w:before="0" w:beforeLines="0" w:after="0" w:afterLines="0"/>
      <w:outlineLvl w:val="9"/>
    </w:pPr>
    <w:rPr>
      <w:rFonts w:ascii="宋体" w:eastAsia="宋体"/>
    </w:rPr>
  </w:style>
  <w:style w:type="paragraph" w:customStyle="1" w:styleId="164">
    <w:name w:val="标准文件_五级无标题"/>
    <w:basedOn w:val="104"/>
    <w:qFormat/>
    <w:uiPriority w:val="0"/>
    <w:pPr>
      <w:spacing w:before="0" w:beforeLines="0" w:after="0" w:afterLines="0"/>
      <w:outlineLvl w:val="9"/>
    </w:pPr>
    <w:rPr>
      <w:rFonts w:ascii="宋体" w:eastAsia="宋体"/>
    </w:rPr>
  </w:style>
  <w:style w:type="paragraph" w:customStyle="1" w:styleId="165">
    <w:name w:val="标准文件_三级无标题"/>
    <w:basedOn w:val="95"/>
    <w:qFormat/>
    <w:uiPriority w:val="0"/>
    <w:pPr>
      <w:spacing w:before="0" w:beforeLines="0" w:after="0" w:afterLines="0"/>
      <w:outlineLvl w:val="9"/>
    </w:pPr>
    <w:rPr>
      <w:rFonts w:ascii="宋体" w:eastAsia="宋体"/>
    </w:rPr>
  </w:style>
  <w:style w:type="paragraph" w:customStyle="1" w:styleId="166">
    <w:name w:val="标准文件_二级无标题"/>
    <w:basedOn w:val="66"/>
    <w:qFormat/>
    <w:uiPriority w:val="0"/>
    <w:pPr>
      <w:spacing w:before="0" w:beforeLines="0" w:after="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0" w:beforeLines="0" w:after="0" w:afterLines="0"/>
      <w:outlineLvl w:val="9"/>
    </w:pPr>
    <w:rPr>
      <w:rFonts w:ascii="宋体" w:hAnsi="黑体" w:eastAsia="宋体"/>
      <w:szCs w:val="52"/>
    </w:rPr>
  </w:style>
  <w:style w:type="paragraph" w:customStyle="1" w:styleId="169">
    <w:name w:val="标准文件_大写罗马数字编号列项"/>
    <w:basedOn w:val="57"/>
    <w:qFormat/>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qFormat/>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qFormat/>
    <w:uiPriority w:val="0"/>
    <w:rPr>
      <w:rFonts w:ascii="宋体" w:hAnsi="Times New Roman" w:eastAsia="宋体" w:cs="Times New Roman"/>
      <w:sz w:val="21"/>
      <w:lang w:val="en-US" w:eastAsia="zh-CN" w:bidi="ar-SA"/>
    </w:rPr>
  </w:style>
  <w:style w:type="paragraph" w:customStyle="1" w:styleId="173">
    <w:name w:val="标准文件_三级项"/>
    <w:basedOn w:val="1"/>
    <w:qFormat/>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qFormat/>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qFormat/>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qFormat/>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qFormat/>
    <w:uiPriority w:val="0"/>
    <w:pPr>
      <w:framePr w:w="3997" w:h="471" w:hRule="exact" w:hSpace="0" w:vSpace="181" w:wrap="around" w:vAnchor="page" w:hAnchor="page" w:x="1419" w:y="14097"/>
    </w:pPr>
  </w:style>
  <w:style w:type="paragraph" w:customStyle="1" w:styleId="195">
    <w:name w:val="其他实施日期"/>
    <w:basedOn w:val="155"/>
    <w:qFormat/>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frame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50" w:beforeLines="50" w:after="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50" w:beforeLines="50" w:after="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50" w:beforeLines="50" w:after="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50" w:beforeLines="50" w:after="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50" w:beforeLines="50" w:after="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qFormat/>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二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三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四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五级无标题"/>
    <w:basedOn w:val="85"/>
    <w:qFormat/>
    <w:uiPriority w:val="0"/>
    <w:pPr>
      <w:spacing w:before="0" w:beforeLines="0" w:after="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0" w:beforeLines="0" w:after="0" w:afterLines="0" w:line="276" w:lineRule="auto"/>
    </w:pPr>
    <w:rPr>
      <w:rFonts w:ascii="宋体" w:eastAsia="宋体"/>
    </w:rPr>
  </w:style>
  <w:style w:type="paragraph" w:customStyle="1" w:styleId="218">
    <w:name w:val="标准文件_引言二级无标题"/>
    <w:basedOn w:val="202"/>
    <w:next w:val="57"/>
    <w:qFormat/>
    <w:uiPriority w:val="0"/>
    <w:pPr>
      <w:spacing w:before="0" w:beforeLines="0" w:after="0" w:afterLines="0" w:line="276" w:lineRule="auto"/>
    </w:pPr>
    <w:rPr>
      <w:rFonts w:ascii="宋体" w:eastAsia="宋体"/>
    </w:rPr>
  </w:style>
  <w:style w:type="paragraph" w:customStyle="1" w:styleId="219">
    <w:name w:val="标准文件_引言三级无标题"/>
    <w:basedOn w:val="203"/>
    <w:qFormat/>
    <w:uiPriority w:val="0"/>
    <w:pPr>
      <w:spacing w:before="0" w:beforeLines="0" w:after="0" w:afterLines="0" w:line="276" w:lineRule="auto"/>
    </w:pPr>
    <w:rPr>
      <w:rFonts w:ascii="宋体" w:eastAsia="宋体"/>
    </w:rPr>
  </w:style>
  <w:style w:type="paragraph" w:customStyle="1" w:styleId="220">
    <w:name w:val="标准文件_引言四级无标题"/>
    <w:basedOn w:val="204"/>
    <w:next w:val="57"/>
    <w:qFormat/>
    <w:uiPriority w:val="0"/>
    <w:pPr>
      <w:spacing w:before="0" w:beforeLines="0" w:after="0" w:afterLines="0" w:line="276" w:lineRule="auto"/>
    </w:pPr>
    <w:rPr>
      <w:rFonts w:ascii="宋体" w:eastAsia="宋体"/>
    </w:rPr>
  </w:style>
  <w:style w:type="paragraph" w:customStyle="1" w:styleId="221">
    <w:name w:val="标准文件_引言五级无标题"/>
    <w:basedOn w:val="205"/>
    <w:next w:val="57"/>
    <w:qFormat/>
    <w:uiPriority w:val="0"/>
    <w:pPr>
      <w:spacing w:before="0" w:beforeLines="0" w:after="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qFormat/>
    <w:uiPriority w:val="0"/>
    <w:rPr>
      <w:rFonts w:ascii="黑体" w:eastAsia="黑体"/>
      <w:spacing w:val="85"/>
      <w:w w:val="100"/>
      <w:position w:val="3"/>
      <w:sz w:val="28"/>
      <w:szCs w:val="28"/>
    </w:rPr>
  </w:style>
  <w:style w:type="character" w:customStyle="1" w:styleId="231">
    <w:name w:val="页眉 Char1"/>
    <w:basedOn w:val="29"/>
    <w:semiHidden/>
    <w:qFormat/>
    <w:locked/>
    <w:uiPriority w:val="99"/>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glossaryDocument" Target="glossary/document.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jpe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F10C3DEF7074DBF9CA9FF40758B7F82"/>
        <w:style w:val=""/>
        <w:category>
          <w:name w:val="常规"/>
          <w:gallery w:val="placeholder"/>
        </w:category>
        <w:types>
          <w:type w:val="bbPlcHdr"/>
        </w:types>
        <w:behaviors>
          <w:behavior w:val="content"/>
        </w:behaviors>
        <w:description w:val=""/>
        <w:guid w:val="{C422150E-7FD8-4068-A889-ADF3606F0AD6}"/>
      </w:docPartPr>
      <w:docPartBody>
        <w:p>
          <w:pPr>
            <w:pStyle w:val="5"/>
          </w:pPr>
          <w:r>
            <w:rPr>
              <w:rStyle w:val="4"/>
              <w:rFonts w:hint="eastAsia"/>
            </w:rPr>
            <w:t>单击或点击此处输入文字。</w:t>
          </w:r>
        </w:p>
      </w:docPartBody>
    </w:docPart>
    <w:docPart>
      <w:docPartPr>
        <w:name w:val="F512FCFB92434327853351A7D4654383"/>
        <w:style w:val=""/>
        <w:category>
          <w:name w:val="常规"/>
          <w:gallery w:val="placeholder"/>
        </w:category>
        <w:types>
          <w:type w:val="bbPlcHdr"/>
        </w:types>
        <w:behaviors>
          <w:behavior w:val="content"/>
        </w:behaviors>
        <w:description w:val=""/>
        <w:guid w:val="{A05CB557-8DBD-4412-BA44-7FF3C0C5DA31}"/>
      </w:docPartPr>
      <w:docPartBody>
        <w:p>
          <w:pPr>
            <w:pStyle w:val="6"/>
          </w:pPr>
          <w:r>
            <w:rPr>
              <w:rStyle w:val="4"/>
              <w:rFonts w:hint="eastAsia"/>
            </w:rPr>
            <w:t>选择一项。</w:t>
          </w:r>
        </w:p>
      </w:docPartBody>
    </w:docPart>
    <w:docPart>
      <w:docPartPr>
        <w:name w:val="D63AF2041E994AF08651FD270C1F76FD"/>
        <w:style w:val=""/>
        <w:category>
          <w:name w:val="常规"/>
          <w:gallery w:val="placeholder"/>
        </w:category>
        <w:types>
          <w:type w:val="bbPlcHdr"/>
        </w:types>
        <w:behaviors>
          <w:behavior w:val="content"/>
        </w:behaviors>
        <w:description w:val=""/>
        <w:guid w:val="{69FDD711-F36B-4754-8A5F-E60B2A266D27}"/>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873"/>
    <w:rsid w:val="0003563D"/>
    <w:rsid w:val="000E2299"/>
    <w:rsid w:val="000F53D5"/>
    <w:rsid w:val="00175475"/>
    <w:rsid w:val="002E0331"/>
    <w:rsid w:val="002E5814"/>
    <w:rsid w:val="002F2947"/>
    <w:rsid w:val="003A72DE"/>
    <w:rsid w:val="003C5825"/>
    <w:rsid w:val="004907F0"/>
    <w:rsid w:val="004E3DC5"/>
    <w:rsid w:val="005A5D4F"/>
    <w:rsid w:val="00666353"/>
    <w:rsid w:val="00771536"/>
    <w:rsid w:val="008026B1"/>
    <w:rsid w:val="008B2852"/>
    <w:rsid w:val="00965296"/>
    <w:rsid w:val="009E0DF9"/>
    <w:rsid w:val="00A51334"/>
    <w:rsid w:val="00BC5DAF"/>
    <w:rsid w:val="00BE0301"/>
    <w:rsid w:val="00BE21F8"/>
    <w:rsid w:val="00C10516"/>
    <w:rsid w:val="00C36DED"/>
    <w:rsid w:val="00C622D4"/>
    <w:rsid w:val="00D02D60"/>
    <w:rsid w:val="00D746DE"/>
    <w:rsid w:val="00E816AE"/>
    <w:rsid w:val="00F81FD5"/>
    <w:rsid w:val="00FA0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DF10C3DEF7074DBF9CA9FF40758B7F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512FCFB92434327853351A7D46543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D63AF2041E994AF08651FD270C1F76FD"/>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953E20-C0A9-4B39-ACEA-8D574FC926B5}">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11</Pages>
  <Words>4003</Words>
  <Characters>4427</Characters>
  <Lines>40</Lines>
  <Paragraphs>11</Paragraphs>
  <TotalTime>2</TotalTime>
  <ScaleCrop>false</ScaleCrop>
  <LinksUpToDate>false</LinksUpToDate>
  <CharactersWithSpaces>4548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2022-07-20T02:08:00Z</dcterms:created>
  <dc:creator>用户</dc:creator>
  <cp:lastModifiedBy>yxg</cp:lastModifiedBy>
  <cp:lastPrinted>2022-08-05T11:15:00Z</cp:lastPrinted>
  <dcterms:modified xsi:type="dcterms:W3CDTF">2022-08-16T03:46:09Z</dcterms:modified>
  <dc:title>团体标准</dc:title>
  <cp:revision>145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2052-11.1.0.12302</vt:lpwstr>
  </property>
  <property fmtid="{D5CDD505-2E9C-101B-9397-08002B2CF9AE}" pid="15" name="ICV">
    <vt:lpwstr>9F575AC70FBD43E68520571B84461684</vt:lpwstr>
  </property>
</Properties>
</file>